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bCs/>
          <w:color w:val="auto"/>
          <w:sz w:val="52"/>
          <w:szCs w:val="52"/>
        </w:rPr>
      </w:pPr>
      <w:r>
        <w:rPr>
          <w:rFonts w:hint="eastAsia" w:asciiTheme="majorEastAsia" w:hAnsiTheme="majorEastAsia" w:eastAsiaTheme="majorEastAsia" w:cstheme="majorEastAsia"/>
          <w:b/>
          <w:bCs/>
          <w:color w:val="auto"/>
          <w:sz w:val="52"/>
          <w:szCs w:val="52"/>
        </w:rPr>
        <w:t>淄博市20</w:t>
      </w:r>
      <w:r>
        <w:rPr>
          <w:rFonts w:hint="eastAsia" w:asciiTheme="majorEastAsia" w:hAnsiTheme="majorEastAsia" w:eastAsiaTheme="majorEastAsia" w:cstheme="majorEastAsia"/>
          <w:b/>
          <w:bCs/>
          <w:color w:val="auto"/>
          <w:sz w:val="52"/>
          <w:szCs w:val="52"/>
          <w:lang w:val="en-US" w:eastAsia="zh-CN"/>
        </w:rPr>
        <w:t>20</w:t>
      </w:r>
      <w:r>
        <w:rPr>
          <w:rFonts w:hint="eastAsia" w:asciiTheme="majorEastAsia" w:hAnsiTheme="majorEastAsia" w:eastAsiaTheme="majorEastAsia" w:cstheme="majorEastAsia"/>
          <w:b/>
          <w:bCs/>
          <w:color w:val="auto"/>
          <w:sz w:val="52"/>
          <w:szCs w:val="52"/>
        </w:rPr>
        <w:t>年政府信息公开工作</w:t>
      </w:r>
    </w:p>
    <w:p>
      <w:pPr>
        <w:jc w:val="center"/>
        <w:rPr>
          <w:rFonts w:hint="eastAsia"/>
          <w:color w:val="auto"/>
        </w:rPr>
      </w:pPr>
      <w:r>
        <w:rPr>
          <w:rFonts w:hint="eastAsia" w:asciiTheme="majorEastAsia" w:hAnsiTheme="majorEastAsia" w:eastAsiaTheme="majorEastAsia" w:cstheme="majorEastAsia"/>
          <w:b/>
          <w:bCs/>
          <w:color w:val="auto"/>
          <w:sz w:val="84"/>
          <w:szCs w:val="84"/>
        </w:rPr>
        <w:t>年度报告</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淄博市人民政府办公室</w:t>
      </w:r>
    </w:p>
    <w:p>
      <w:pPr>
        <w:jc w:val="center"/>
        <w:rPr>
          <w:rFonts w:hint="eastAsia" w:ascii="宋体" w:hAnsi="宋体" w:eastAsia="宋体" w:cs="宋体"/>
          <w:b/>
          <w:bCs/>
          <w:sz w:val="36"/>
          <w:szCs w:val="36"/>
        </w:rPr>
      </w:pPr>
      <w:r>
        <w:rPr>
          <w:rFonts w:hint="eastAsia" w:ascii="宋体" w:hAnsi="宋体" w:eastAsia="宋体" w:cs="宋体"/>
          <w:b/>
          <w:bCs/>
          <w:sz w:val="36"/>
          <w:szCs w:val="36"/>
        </w:rPr>
        <w:t>202</w:t>
      </w:r>
      <w:r>
        <w:rPr>
          <w:rFonts w:hint="eastAsia" w:ascii="宋体" w:hAnsi="宋体" w:eastAsia="宋体" w:cs="宋体"/>
          <w:b/>
          <w:bCs/>
          <w:sz w:val="36"/>
          <w:szCs w:val="36"/>
          <w:lang w:val="en-US" w:eastAsia="zh-CN"/>
        </w:rPr>
        <w:t>1</w:t>
      </w:r>
      <w:r>
        <w:rPr>
          <w:rFonts w:hint="eastAsia" w:ascii="宋体" w:hAnsi="宋体" w:eastAsia="宋体" w:cs="宋体"/>
          <w:b/>
          <w:bCs/>
          <w:sz w:val="36"/>
          <w:szCs w:val="36"/>
        </w:rPr>
        <w:t>年</w:t>
      </w:r>
      <w:r>
        <w:rPr>
          <w:rFonts w:hint="eastAsia" w:ascii="宋体" w:hAnsi="宋体" w:cs="宋体"/>
          <w:b/>
          <w:bCs/>
          <w:sz w:val="36"/>
          <w:szCs w:val="36"/>
          <w:lang w:val="en-US" w:eastAsia="zh-CN"/>
        </w:rPr>
        <w:t>3</w:t>
      </w:r>
      <w:r>
        <w:rPr>
          <w:rFonts w:hint="eastAsia" w:ascii="宋体" w:hAnsi="宋体" w:eastAsia="宋体" w:cs="宋体"/>
          <w:b/>
          <w:bCs/>
          <w:sz w:val="36"/>
          <w:szCs w:val="36"/>
        </w:rPr>
        <w:t>月</w:t>
      </w:r>
    </w:p>
    <w:p>
      <w:pPr>
        <w:ind w:firstLine="640" w:firstLineChars="200"/>
        <w:rPr>
          <w:rFonts w:hint="eastAsia" w:ascii="仿宋" w:hAnsi="仿宋" w:eastAsia="仿宋" w:cs="仿宋"/>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ind w:firstLine="640" w:firstLineChars="200"/>
        <w:rPr>
          <w:rFonts w:hint="eastAsia" w:ascii="仿宋" w:hAnsi="仿宋" w:eastAsia="仿宋" w:cs="仿宋"/>
          <w:sz w:val="32"/>
          <w:szCs w:val="32"/>
        </w:rPr>
      </w:pPr>
      <w:r>
        <w:rPr>
          <w:rFonts w:hint="eastAsia" w:ascii="仿宋" w:hAnsi="仿宋" w:eastAsia="仿宋" w:cs="仿宋"/>
          <w:sz w:val="32"/>
          <w:szCs w:val="32"/>
        </w:rPr>
        <w:t>本报告根据《中华人民共和国政府信息公开条例》(国务院令第711号，以下简称《条例》）第四十九条、第五十条，按照《国务院办公厅政府信息与政务公开办公室关于政府信息公开工作年度报告有关事项的通知》（国办公开办函〔2019〕60号）要求，由淄博市人民政府办公室综合淄博市各区县人民政府和高新区、经济开发区、文昌湖区管委会及市政府各工作部门、各有关单位政府信息公开工作情况编制。</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报告全文分为总体情况、主动公开政府信息情况、收到和处理政府信息公开申请情况、政府信息公开行政复议行政诉讼情况、存在的主要问题及改进情况、其他需要报告的事项6个部分。</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报告中所列数据统计期限自2020年1月1日始，至2020年12月31日止。报告电子版可从淄博市人民政府门户网站（www.zibo.gov.cn）下载。如对报告内容有疑问，请与淄博市人民政府政务公开办公室联系（地址：淄博市张店区人民西路8号；邮编：255003；电话：0533-3183622）。</w:t>
      </w:r>
    </w:p>
    <w:p>
      <w:pPr>
        <w:rPr>
          <w:rFonts w:hint="eastAsia" w:ascii="仿宋" w:hAnsi="仿宋" w:eastAsia="仿宋" w:cs="仿宋"/>
          <w:sz w:val="32"/>
          <w:szCs w:val="32"/>
        </w:rPr>
      </w:pPr>
      <w:r>
        <w:rPr>
          <w:rFonts w:hint="eastAsia" w:ascii="仿宋" w:hAnsi="仿宋" w:eastAsia="仿宋" w:cs="仿宋"/>
          <w:sz w:val="32"/>
          <w:szCs w:val="32"/>
        </w:rPr>
        <w:br w:type="page"/>
      </w:r>
    </w:p>
    <w:p>
      <w:pPr>
        <w:ind w:firstLine="643" w:firstLineChars="200"/>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一、总体情况</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2020年，淄博市以习近平新时代中国特色社会主义思想为指导，全面落实国家、省政务公开决策部署，补短板，强基础，着力规范政府信息全链条管理，着力强化公开、解读、互动全流程联动，着力打造政府网站、政务新媒体、政府公报等全渠道平台，努力推动全市政务公开工作取得新进展。</w:t>
      </w:r>
    </w:p>
    <w:p>
      <w:pPr>
        <w:numPr>
          <w:ilvl w:val="0"/>
          <w:numId w:val="1"/>
        </w:numPr>
        <w:ind w:firstLine="643" w:firstLineChars="200"/>
        <w:rPr>
          <w:rFonts w:hint="eastAsia" w:ascii="方正楷体简体" w:hAnsi="方正楷体简体" w:eastAsia="方正楷体简体" w:cs="方正楷体简体"/>
          <w:b/>
          <w:bCs/>
          <w:sz w:val="32"/>
          <w:szCs w:val="32"/>
        </w:rPr>
      </w:pPr>
      <w:r>
        <w:rPr>
          <w:rFonts w:hint="eastAsia" w:ascii="方正楷体简体" w:hAnsi="方正楷体简体" w:eastAsia="方正楷体简体" w:cs="方正楷体简体"/>
          <w:b/>
          <w:bCs/>
          <w:sz w:val="32"/>
          <w:szCs w:val="32"/>
        </w:rPr>
        <w:t>主动公开</w:t>
      </w:r>
      <w:r>
        <w:rPr>
          <w:rFonts w:hint="eastAsia" w:ascii="方正楷体简体" w:hAnsi="方正楷体简体" w:eastAsia="方正楷体简体" w:cs="方正楷体简体"/>
          <w:b/>
          <w:bCs/>
          <w:sz w:val="32"/>
          <w:szCs w:val="32"/>
          <w:lang w:eastAsia="zh-CN"/>
        </w:rPr>
        <w:t>方面</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61312" behindDoc="1" locked="0" layoutInCell="1" allowOverlap="1">
            <wp:simplePos x="0" y="0"/>
            <wp:positionH relativeFrom="column">
              <wp:posOffset>1498600</wp:posOffset>
            </wp:positionH>
            <wp:positionV relativeFrom="paragraph">
              <wp:posOffset>1546225</wp:posOffset>
            </wp:positionV>
            <wp:extent cx="3729990" cy="3194685"/>
            <wp:effectExtent l="9525" t="9525" r="13335" b="15240"/>
            <wp:wrapTight wrapText="bothSides">
              <wp:wrapPolygon>
                <wp:start x="-55" y="-64"/>
                <wp:lineTo x="-55" y="21574"/>
                <wp:lineTo x="21567" y="21574"/>
                <wp:lineTo x="21567" y="-64"/>
                <wp:lineTo x="-55" y="-64"/>
              </wp:wrapPolygon>
            </wp:wrapTight>
            <wp:docPr id="9" name="图片 9" descr="161518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15185149"/>
                    <pic:cNvPicPr>
                      <a:picLocks noChangeAspect="1"/>
                    </pic:cNvPicPr>
                  </pic:nvPicPr>
                  <pic:blipFill>
                    <a:blip r:embed="rId5"/>
                    <a:stretch>
                      <a:fillRect/>
                    </a:stretch>
                  </pic:blipFill>
                  <pic:spPr>
                    <a:xfrm>
                      <a:off x="0" y="0"/>
                      <a:ext cx="3729990" cy="3194685"/>
                    </a:xfrm>
                    <a:prstGeom prst="rect">
                      <a:avLst/>
                    </a:prstGeom>
                    <a:ln>
                      <a:solidFill>
                        <a:srgbClr val="0000FF"/>
                      </a:solidFill>
                    </a:ln>
                  </pic:spPr>
                </pic:pic>
              </a:graphicData>
            </a:graphic>
          </wp:anchor>
        </w:drawing>
      </w:r>
      <w:r>
        <w:rPr>
          <w:rFonts w:hint="eastAsia" w:ascii="方正楷体简体" w:hAnsi="方正楷体简体" w:eastAsia="方正楷体简体" w:cs="方正楷体简体"/>
          <w:sz w:val="32"/>
          <w:szCs w:val="32"/>
          <w:lang w:val="en-US" w:eastAsia="zh-CN"/>
        </w:rPr>
        <w:t>1、全面推进“五公开”。（1）决策公开。</w:t>
      </w:r>
      <w:r>
        <w:rPr>
          <w:rFonts w:hint="eastAsia" w:ascii="仿宋" w:hAnsi="仿宋" w:eastAsia="仿宋" w:cs="仿宋"/>
          <w:sz w:val="32"/>
          <w:szCs w:val="32"/>
          <w:lang w:val="en-US" w:eastAsia="zh-CN"/>
        </w:rPr>
        <w:t>制定《关于提高市政府常务会议和市长专题会议质量效率的通知》，明确关系群众切身利益的议题应通过听证会等形式广泛听取群众意见，未完成征求意见、公示、专家咨询论证、风险评估、合法性审查以及会前协调等决策程序的政策性文件不得提交市政府常务会议审议，市政府常务会议研究重大民生事项、重要涉企政策时，应邀请利益相关方、公众代表、专家、媒体列席。年内市政府常务会议多次邀请企业家代表、市民代表列席。市政府年度重大行政决策事项提前公开，决策草案通过市政府网站草专门栏目进行公开，公</w:t>
      </w:r>
      <w:r>
        <w:drawing>
          <wp:anchor distT="0" distB="0" distL="114300" distR="114300" simplePos="0" relativeHeight="251688960" behindDoc="1" locked="0" layoutInCell="1" allowOverlap="1">
            <wp:simplePos x="0" y="0"/>
            <wp:positionH relativeFrom="column">
              <wp:posOffset>2851785</wp:posOffset>
            </wp:positionH>
            <wp:positionV relativeFrom="paragraph">
              <wp:posOffset>4304665</wp:posOffset>
            </wp:positionV>
            <wp:extent cx="2660015" cy="3931285"/>
            <wp:effectExtent l="9525" t="9525" r="0" b="0"/>
            <wp:wrapTight wrapText="bothSides">
              <wp:wrapPolygon>
                <wp:start x="-77" y="-52"/>
                <wp:lineTo x="-77" y="21509"/>
                <wp:lineTo x="21579" y="21509"/>
                <wp:lineTo x="21579" y="-52"/>
                <wp:lineTo x="-77" y="-52"/>
              </wp:wrapPolygon>
            </wp:wrapTight>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2660015" cy="3931285"/>
                    </a:xfrm>
                    <a:prstGeom prst="rect">
                      <a:avLst/>
                    </a:prstGeom>
                    <a:noFill/>
                    <a:ln>
                      <a:solidFill>
                        <a:srgbClr val="0000FF"/>
                      </a:solidFill>
                    </a:ln>
                  </pic:spPr>
                </pic:pic>
              </a:graphicData>
            </a:graphic>
          </wp:anchor>
        </w:drawing>
      </w:r>
      <w:r>
        <w:rPr>
          <w:rFonts w:hint="eastAsia" w:ascii="仿宋" w:hAnsi="仿宋" w:eastAsia="仿宋" w:cs="仿宋"/>
          <w:sz w:val="32"/>
          <w:szCs w:val="32"/>
          <w:lang w:val="en-US" w:eastAsia="zh-CN"/>
        </w:rPr>
        <w:t>众意见收集采用情况和决策结果及时公开。</w:t>
      </w:r>
      <w:r>
        <w:rPr>
          <w:rFonts w:hint="eastAsia" w:ascii="方正楷体简体" w:hAnsi="方正楷体简体" w:eastAsia="方正楷体简体" w:cs="方正楷体简体"/>
          <w:sz w:val="32"/>
          <w:szCs w:val="32"/>
          <w:lang w:val="en-US" w:eastAsia="zh-CN"/>
        </w:rPr>
        <w:t>（2）执行公开。</w:t>
      </w:r>
      <w:r>
        <w:rPr>
          <w:rFonts w:hint="eastAsia" w:ascii="仿宋" w:hAnsi="仿宋" w:eastAsia="仿宋" w:cs="仿宋"/>
          <w:sz w:val="32"/>
          <w:szCs w:val="32"/>
          <w:lang w:val="en-US" w:eastAsia="zh-CN"/>
        </w:rPr>
        <w:t>市政府信息公开平台设置“重要决策部署执行”栏目，全面公开政府工作报告任务执行情况、十二大攻坚行动任务完成情况、重点民生实事工作进展情况、督查发现问题及整改落实情况、重点公开承诺事项完成情况等信息。</w:t>
      </w:r>
      <w:r>
        <w:rPr>
          <w:rFonts w:hint="eastAsia" w:ascii="方正楷体简体" w:hAnsi="方正楷体简体" w:eastAsia="方正楷体简体" w:cs="方正楷体简体"/>
          <w:sz w:val="32"/>
          <w:szCs w:val="32"/>
          <w:lang w:val="en-US" w:eastAsia="zh-CN"/>
        </w:rPr>
        <w:t>（3）管理和服务公开。</w:t>
      </w:r>
      <w:r>
        <w:rPr>
          <w:rFonts w:hint="eastAsia" w:ascii="仿宋" w:hAnsi="仿宋" w:eastAsia="仿宋" w:cs="仿宋"/>
          <w:sz w:val="32"/>
          <w:szCs w:val="32"/>
          <w:lang w:val="en-US" w:eastAsia="zh-CN"/>
        </w:rPr>
        <w:t>市政府信息公开平台设置“职能配置”专栏，全面公开各级政府部门办公地点、联系电话、部门职能、机构设置、领导分工等信息。政府部门权责清单、职责边界清单均通过政府网站、政务服务网和本部门网站公开，同时根据行政权力调整情况进行动态更新。全面梳理行政权力事项和公共服务事项清单，逐一编制办事流程，通过政务服务网统一集中公开。</w:t>
      </w:r>
      <w:r>
        <w:rPr>
          <w:rFonts w:hint="eastAsia" w:ascii="方正楷体简体" w:hAnsi="方正楷体简体" w:eastAsia="方正楷体简体" w:cs="方正楷体简体"/>
          <w:sz w:val="32"/>
          <w:szCs w:val="32"/>
          <w:lang w:val="en-US" w:eastAsia="zh-CN"/>
        </w:rPr>
        <w:t>（4）结果公开。</w:t>
      </w:r>
      <w:r>
        <w:rPr>
          <w:rFonts w:hint="eastAsia" w:ascii="仿宋" w:hAnsi="仿宋" w:eastAsia="仿宋" w:cs="仿宋"/>
          <w:sz w:val="32"/>
          <w:szCs w:val="32"/>
          <w:lang w:val="en-US" w:eastAsia="zh-CN"/>
        </w:rPr>
        <w:t>行政许可、行政处罚、政务服务结果即时在市政务服务网、信用淄博网站等集中公开。</w:t>
      </w:r>
    </w:p>
    <w:p>
      <w:pPr>
        <w:numPr>
          <w:ilvl w:val="0"/>
          <w:numId w:val="0"/>
        </w:numPr>
        <w:rPr>
          <w:rFonts w:hint="eastAsia" w:ascii="仿宋" w:hAnsi="仿宋" w:eastAsia="仿宋" w:cs="仿宋"/>
          <w:sz w:val="32"/>
          <w:szCs w:val="32"/>
          <w:lang w:val="en-US" w:eastAsia="zh-CN"/>
        </w:rPr>
      </w:pPr>
      <w:r>
        <w:rPr>
          <w:rFonts w:hint="eastAsia" w:ascii="方正楷体简体" w:hAnsi="方正楷体简体" w:eastAsia="方正楷体简体" w:cs="方正楷体简体"/>
          <w:sz w:val="32"/>
          <w:szCs w:val="32"/>
          <w:lang w:val="en-US" w:eastAsia="zh-CN"/>
        </w:rPr>
        <w:t>2、加强政策解读和热点回应。（1）完善解读制度。</w:t>
      </w:r>
      <w:r>
        <w:rPr>
          <w:rFonts w:hint="eastAsia" w:ascii="仿宋" w:hAnsi="仿宋" w:eastAsia="仿宋" w:cs="仿宋"/>
          <w:sz w:val="32"/>
          <w:szCs w:val="32"/>
          <w:lang w:val="en-US" w:eastAsia="zh-CN"/>
        </w:rPr>
        <w:t>印发《关于进一步做好市委、市政府政策性文件落实工作的通知》，明确政策性文件出台背景、决</w:t>
      </w:r>
      <w:r>
        <w:drawing>
          <wp:anchor distT="0" distB="0" distL="114300" distR="114300" simplePos="0" relativeHeight="251689984" behindDoc="1" locked="0" layoutInCell="1" allowOverlap="1">
            <wp:simplePos x="0" y="0"/>
            <wp:positionH relativeFrom="column">
              <wp:posOffset>2026920</wp:posOffset>
            </wp:positionH>
            <wp:positionV relativeFrom="paragraph">
              <wp:posOffset>3329305</wp:posOffset>
            </wp:positionV>
            <wp:extent cx="3364230" cy="5221605"/>
            <wp:effectExtent l="9525" t="9525" r="17145" b="0"/>
            <wp:wrapTight wrapText="bothSides">
              <wp:wrapPolygon>
                <wp:start x="-61" y="-39"/>
                <wp:lineTo x="-61" y="21553"/>
                <wp:lineTo x="21588" y="21553"/>
                <wp:lineTo x="21588" y="-39"/>
                <wp:lineTo x="-61" y="-39"/>
              </wp:wrapPolygon>
            </wp:wrapTight>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3364230" cy="5221605"/>
                    </a:xfrm>
                    <a:prstGeom prst="rect">
                      <a:avLst/>
                    </a:prstGeom>
                    <a:noFill/>
                    <a:ln>
                      <a:solidFill>
                        <a:srgbClr val="0000FF"/>
                      </a:solidFill>
                    </a:ln>
                  </pic:spPr>
                </pic:pic>
              </a:graphicData>
            </a:graphic>
          </wp:anchor>
        </w:drawing>
      </w:r>
      <w:r>
        <w:rPr>
          <w:rFonts w:hint="eastAsia" w:ascii="仿宋" w:hAnsi="仿宋" w:eastAsia="仿宋" w:cs="仿宋"/>
          <w:sz w:val="32"/>
          <w:szCs w:val="32"/>
          <w:lang w:val="en-US" w:eastAsia="zh-CN"/>
        </w:rPr>
        <w:t>策依据、目的意义以及与以往政策规定的变化之处、政策调整带来的红利等解读重点。</w:t>
      </w:r>
      <w:r>
        <w:rPr>
          <w:rFonts w:hint="eastAsia" w:ascii="方正楷体简体" w:hAnsi="方正楷体简体" w:eastAsia="方正楷体简体" w:cs="方正楷体简体"/>
          <w:sz w:val="32"/>
          <w:szCs w:val="32"/>
          <w:lang w:val="en-US" w:eastAsia="zh-CN"/>
        </w:rPr>
        <w:t>（2）严格解读程序。</w:t>
      </w:r>
      <w:r>
        <w:rPr>
          <w:rFonts w:hint="eastAsia" w:ascii="仿宋" w:hAnsi="仿宋" w:eastAsia="仿宋" w:cs="仿宋"/>
          <w:sz w:val="32"/>
          <w:szCs w:val="32"/>
          <w:lang w:val="en-US" w:eastAsia="zh-CN"/>
        </w:rPr>
        <w:t>各级严格执行政策文件、解读方案和解读材料“同步组织、同步审签、同步部署”制度，对起草单位未随政策文件报送解读材料的坚决予以退文，同时严格控制政策文件出台后3个工作日内同步发布政策和解读。</w:t>
      </w:r>
      <w:r>
        <w:rPr>
          <w:rFonts w:hint="eastAsia" w:ascii="方正楷体简体" w:hAnsi="方正楷体简体" w:eastAsia="方正楷体简体" w:cs="方正楷体简体"/>
          <w:sz w:val="32"/>
          <w:szCs w:val="32"/>
          <w:lang w:val="en-US" w:eastAsia="zh-CN"/>
        </w:rPr>
        <w:t>（3）丰富解读形式。</w:t>
      </w:r>
      <w:r>
        <w:rPr>
          <w:rFonts w:hint="eastAsia" w:ascii="仿宋" w:hAnsi="仿宋" w:eastAsia="仿宋" w:cs="仿宋"/>
          <w:sz w:val="32"/>
          <w:szCs w:val="32"/>
          <w:lang w:val="en-US" w:eastAsia="zh-CN"/>
        </w:rPr>
        <w:t>年内加强对政策性文件的图文、动漫解读，市政府出台的政策共制作一图看懂、视频动漫解读材料100余件，同时采取印发政策汇编、上门讲解等形式提升解读效果。桓台县招募音频录制人员，对政府文件进行配音，成为公众获取政府信息的“随身听”。</w:t>
      </w:r>
      <w:r>
        <w:rPr>
          <w:rFonts w:hint="eastAsia" w:ascii="方正楷体简体" w:hAnsi="方正楷体简体" w:eastAsia="方正楷体简体" w:cs="方正楷体简体"/>
          <w:sz w:val="32"/>
          <w:szCs w:val="32"/>
          <w:lang w:val="en-US" w:eastAsia="zh-CN"/>
        </w:rPr>
        <w:t>（4）回应群众关切</w:t>
      </w:r>
      <w:r>
        <w:rPr>
          <w:rFonts w:hint="eastAsia" w:ascii="仿宋" w:hAnsi="仿宋" w:eastAsia="仿宋" w:cs="仿宋"/>
          <w:sz w:val="32"/>
          <w:szCs w:val="32"/>
          <w:lang w:val="en-US" w:eastAsia="zh-CN"/>
        </w:rPr>
        <w:t>。通过市长信箱、12345热线、政府网站互动平台、政商直通车等渠道及时受理群众诉求，同时组织区县政府、市政府部门</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numPr>
          <w:ilvl w:val="0"/>
          <w:numId w:val="0"/>
        </w:numP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主要负责人接听群众电话，开通市民投诉中心微信公众号在线投诉功能，公示公告市民投诉事项及办理结果。年内市长信箱反馈诉求60余件，政府网站互动平台答复投诉咨询3646件，在淄博日报、市政府网站公开群众诉求及办理结果60余期600余件，政商直通车办理企业诉求900余件。</w:t>
      </w:r>
    </w:p>
    <w:p>
      <w:pPr>
        <w:ind w:firstLine="420" w:firstLineChars="200"/>
        <w:rPr>
          <w:rFonts w:hint="eastAsia" w:ascii="仿宋" w:hAnsi="仿宋" w:eastAsia="仿宋" w:cs="仿宋"/>
          <w:sz w:val="32"/>
          <w:szCs w:val="32"/>
          <w:lang w:val="en-US" w:eastAsia="zh-CN"/>
        </w:rPr>
      </w:pPr>
      <w:r>
        <w:drawing>
          <wp:anchor distT="0" distB="0" distL="114300" distR="114300" simplePos="0" relativeHeight="251665408" behindDoc="1" locked="0" layoutInCell="1" allowOverlap="1">
            <wp:simplePos x="0" y="0"/>
            <wp:positionH relativeFrom="column">
              <wp:posOffset>2551430</wp:posOffset>
            </wp:positionH>
            <wp:positionV relativeFrom="paragraph">
              <wp:posOffset>1394460</wp:posOffset>
            </wp:positionV>
            <wp:extent cx="2865120" cy="2841625"/>
            <wp:effectExtent l="9525" t="9525" r="20955" b="25400"/>
            <wp:wrapTight wrapText="bothSides">
              <wp:wrapPolygon>
                <wp:start x="-72" y="-72"/>
                <wp:lineTo x="-72" y="21503"/>
                <wp:lineTo x="21471" y="21503"/>
                <wp:lineTo x="21471" y="-72"/>
                <wp:lineTo x="-72" y="-72"/>
              </wp:wrapPolygon>
            </wp:wrapTight>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8"/>
                    <a:stretch>
                      <a:fillRect/>
                    </a:stretch>
                  </pic:blipFill>
                  <pic:spPr>
                    <a:xfrm>
                      <a:off x="0" y="0"/>
                      <a:ext cx="2865120" cy="2841625"/>
                    </a:xfrm>
                    <a:prstGeom prst="rect">
                      <a:avLst/>
                    </a:prstGeom>
                    <a:noFill/>
                    <a:ln>
                      <a:solidFill>
                        <a:srgbClr val="0000FF"/>
                      </a:solidFill>
                    </a:ln>
                  </pic:spPr>
                </pic:pic>
              </a:graphicData>
            </a:graphic>
          </wp:anchor>
        </w:drawing>
      </w:r>
      <w:r>
        <w:drawing>
          <wp:anchor distT="0" distB="0" distL="114300" distR="114300" simplePos="0" relativeHeight="251664384" behindDoc="1" locked="0" layoutInCell="1" allowOverlap="1">
            <wp:simplePos x="0" y="0"/>
            <wp:positionH relativeFrom="column">
              <wp:posOffset>2008505</wp:posOffset>
            </wp:positionH>
            <wp:positionV relativeFrom="paragraph">
              <wp:posOffset>355600</wp:posOffset>
            </wp:positionV>
            <wp:extent cx="2990850" cy="2631440"/>
            <wp:effectExtent l="9525" t="9525" r="9525" b="26035"/>
            <wp:wrapTight wrapText="bothSides">
              <wp:wrapPolygon>
                <wp:start x="-69" y="-78"/>
                <wp:lineTo x="-69" y="21501"/>
                <wp:lineTo x="21531" y="21501"/>
                <wp:lineTo x="21531" y="-78"/>
                <wp:lineTo x="-69" y="-78"/>
              </wp:wrapPolygon>
            </wp:wrapTight>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9"/>
                    <a:stretch>
                      <a:fillRect/>
                    </a:stretch>
                  </pic:blipFill>
                  <pic:spPr>
                    <a:xfrm>
                      <a:off x="0" y="0"/>
                      <a:ext cx="2990850" cy="2631440"/>
                    </a:xfrm>
                    <a:prstGeom prst="rect">
                      <a:avLst/>
                    </a:prstGeom>
                    <a:noFill/>
                    <a:ln>
                      <a:solidFill>
                        <a:srgbClr val="0000FF"/>
                      </a:solidFill>
                    </a:ln>
                  </pic:spPr>
                </pic:pic>
              </a:graphicData>
            </a:graphic>
          </wp:anchor>
        </w:drawing>
      </w:r>
      <w:r>
        <w:rPr>
          <w:rFonts w:hint="eastAsia" w:ascii="方正楷体简体" w:hAnsi="方正楷体简体" w:eastAsia="方正楷体简体" w:cs="方正楷体简体"/>
          <w:sz w:val="32"/>
          <w:szCs w:val="32"/>
          <w:lang w:val="en-US" w:eastAsia="zh-CN"/>
        </w:rPr>
        <w:t>3、拓宽公众参与方式。</w:t>
      </w:r>
      <w:r>
        <w:rPr>
          <w:rFonts w:hint="eastAsia" w:ascii="仿宋" w:hAnsi="仿宋" w:eastAsia="仿宋" w:cs="仿宋"/>
          <w:sz w:val="32"/>
          <w:szCs w:val="32"/>
          <w:lang w:val="en-US" w:eastAsia="zh-CN"/>
        </w:rPr>
        <w:t>除公开征集市民建议、公开决策草案、召开听证会和座谈会等形式组织公众参与外，积极组织开展政府开放日活动，年内各级行政机关和事业单位共组织“市民看城市变化”等各类开放活动193次。</w:t>
      </w:r>
    </w:p>
    <w:p>
      <w:pPr>
        <w:ind w:firstLine="640" w:firstLineChars="200"/>
        <w:rPr>
          <w:rFonts w:hint="eastAsia" w:ascii="仿宋" w:hAnsi="仿宋" w:eastAsia="仿宋" w:cs="仿宋"/>
          <w:sz w:val="32"/>
          <w:szCs w:val="32"/>
          <w:lang w:val="en-US" w:eastAsia="zh-CN"/>
        </w:rPr>
      </w:pPr>
      <w:r>
        <w:rPr>
          <w:rFonts w:hint="eastAsia" w:ascii="方正楷体简体" w:hAnsi="方正楷体简体" w:eastAsia="方正楷体简体" w:cs="方正楷体简体"/>
          <w:sz w:val="32"/>
          <w:szCs w:val="32"/>
          <w:lang w:val="en-US" w:eastAsia="zh-CN"/>
        </w:rPr>
        <w:t>4、创新网站信息展示形式。</w:t>
      </w:r>
      <w:r>
        <w:rPr>
          <w:rFonts w:hint="eastAsia" w:ascii="仿宋" w:hAnsi="仿宋" w:eastAsia="仿宋" w:cs="仿宋"/>
          <w:sz w:val="32"/>
          <w:szCs w:val="32"/>
          <w:lang w:val="en-US" w:eastAsia="zh-CN"/>
        </w:rPr>
        <w:t>年内对市政府网站政府信息公开版块进行了重新打造，制作了政策文件、政府会议、政府公报、行政执法、双随机一公开、财政预决算、重大项目建设、重点承诺事项、公共企事业单位信息公开等专题专页，分类集中公开政府信息，方便群众检索获取。</w:t>
      </w:r>
    </w:p>
    <w:p>
      <w:pPr>
        <w:ind w:firstLine="640" w:firstLineChars="200"/>
        <w:rPr>
          <w:rFonts w:hint="eastAsia" w:ascii="仿宋" w:hAnsi="仿宋" w:eastAsia="仿宋" w:cs="仿宋"/>
          <w:sz w:val="32"/>
          <w:szCs w:val="32"/>
          <w:lang w:val="en-US" w:eastAsia="zh-CN"/>
        </w:rPr>
      </w:pPr>
      <w:r>
        <w:rPr>
          <w:rFonts w:hint="eastAsia" w:ascii="方正楷体简体" w:hAnsi="方正楷体简体" w:eastAsia="方正楷体简体" w:cs="方正楷体简体"/>
          <w:sz w:val="32"/>
          <w:szCs w:val="32"/>
          <w:lang w:val="en-US" w:eastAsia="zh-CN"/>
        </w:rPr>
        <w:t>5、聚焦重点领域进行公开。</w:t>
      </w:r>
      <w:r>
        <w:rPr>
          <w:rFonts w:hint="eastAsia" w:ascii="仿宋" w:hAnsi="仿宋" w:eastAsia="仿宋" w:cs="仿宋"/>
          <w:sz w:val="32"/>
          <w:szCs w:val="32"/>
          <w:lang w:val="en-US" w:eastAsia="zh-CN"/>
        </w:rPr>
        <w:t>围绕疫情防控和复工复产、“六稳”“六保”、优化营商环境、公共资源配置、公共监管、社会公益事业建设等领域，在市政府网站设置了疫情防控和复工复产、社会保险、社会救助、社会福利、就业创业、营商环境、防范重大金融风险、脱贫攻坚、污染防治、财政资金、市场监管、国资国企等专栏，及时公开相关信息；建设了公共企事业单位专页，及时公开与人民群众生活密切相关的教育、卫生、供水、供热、供气、交通等公共企事业单位信息。张店区积极推进院务公开，其做法在全省会议上进行了介绍推广。</w:t>
      </w:r>
    </w:p>
    <w:p>
      <w:pPr>
        <w:ind w:firstLine="420" w:firstLineChars="200"/>
        <w:rPr>
          <w:rFonts w:hint="eastAsia" w:ascii="仿宋" w:hAnsi="仿宋" w:eastAsia="仿宋" w:cs="仿宋"/>
          <w:sz w:val="32"/>
          <w:szCs w:val="32"/>
          <w:lang w:val="en-US" w:eastAsia="zh-CN"/>
        </w:rPr>
      </w:pPr>
      <w:r>
        <w:drawing>
          <wp:anchor distT="0" distB="0" distL="114300" distR="114300" simplePos="0" relativeHeight="251666432" behindDoc="1" locked="0" layoutInCell="1" allowOverlap="1">
            <wp:simplePos x="0" y="0"/>
            <wp:positionH relativeFrom="column">
              <wp:posOffset>1270</wp:posOffset>
            </wp:positionH>
            <wp:positionV relativeFrom="paragraph">
              <wp:posOffset>883285</wp:posOffset>
            </wp:positionV>
            <wp:extent cx="3928110" cy="3031490"/>
            <wp:effectExtent l="9525" t="9525" r="0" b="0"/>
            <wp:wrapTight wrapText="bothSides">
              <wp:wrapPolygon>
                <wp:start x="-52" y="-68"/>
                <wp:lineTo x="-52" y="21514"/>
                <wp:lineTo x="21527" y="21514"/>
                <wp:lineTo x="21527" y="-68"/>
                <wp:lineTo x="-52" y="-68"/>
              </wp:wrapPolygon>
            </wp:wrapTight>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0"/>
                    <a:stretch>
                      <a:fillRect/>
                    </a:stretch>
                  </pic:blipFill>
                  <pic:spPr>
                    <a:xfrm>
                      <a:off x="0" y="0"/>
                      <a:ext cx="3928110" cy="3031490"/>
                    </a:xfrm>
                    <a:prstGeom prst="rect">
                      <a:avLst/>
                    </a:prstGeom>
                    <a:noFill/>
                    <a:ln>
                      <a:solidFill>
                        <a:srgbClr val="0000FF"/>
                      </a:solidFill>
                    </a:ln>
                  </pic:spPr>
                </pic:pic>
              </a:graphicData>
            </a:graphic>
          </wp:anchor>
        </w:drawing>
      </w:r>
      <w:r>
        <w:rPr>
          <w:rFonts w:hint="eastAsia" w:ascii="方正楷体简体" w:hAnsi="方正楷体简体" w:eastAsia="方正楷体简体" w:cs="方正楷体简体"/>
          <w:sz w:val="32"/>
          <w:szCs w:val="32"/>
          <w:lang w:val="en-US" w:eastAsia="zh-CN"/>
        </w:rPr>
        <w:t>6、做好建议提案及办理结果公开。</w:t>
      </w:r>
      <w:r>
        <w:rPr>
          <w:rFonts w:hint="eastAsia" w:ascii="仿宋" w:hAnsi="仿宋" w:eastAsia="仿宋" w:cs="仿宋"/>
          <w:sz w:val="32"/>
          <w:szCs w:val="32"/>
          <w:lang w:val="en-US" w:eastAsia="zh-CN"/>
        </w:rPr>
        <w:t>在市政府网站设置建议提案专页，集中公开建议提案人、建议提案原文、建议提案办理结果等信息，年内共公开市十五届人大五次会议代表建议及办理结果326件，市政协十二届四次会议委员建议及办理结果276件。</w:t>
      </w:r>
    </w:p>
    <w:p>
      <w:pPr>
        <w:keepNext w:val="0"/>
        <w:keepLines w:val="0"/>
        <w:pageBreakBefore w:val="0"/>
        <w:widowControl w:val="0"/>
        <w:kinsoku/>
        <w:wordWrap w:val="0"/>
        <w:overflowPunct/>
        <w:topLinePunct w:val="0"/>
        <w:autoSpaceDE/>
        <w:autoSpaceDN/>
        <w:bidi w:val="0"/>
        <w:adjustRightInd/>
        <w:snapToGrid/>
        <w:ind w:firstLine="640" w:firstLineChars="200"/>
        <w:textAlignment w:val="auto"/>
        <w:rPr>
          <w:rFonts w:hint="default" w:ascii="仿宋" w:hAnsi="仿宋" w:eastAsia="仿宋" w:cs="仿宋"/>
          <w:sz w:val="32"/>
          <w:szCs w:val="32"/>
          <w:lang w:val="en-US" w:eastAsia="zh-CN"/>
        </w:rPr>
      </w:pPr>
      <w:r>
        <w:rPr>
          <w:rFonts w:hint="eastAsia" w:ascii="方正楷体简体" w:hAnsi="方正楷体简体" w:eastAsia="方正楷体简体" w:cs="方正楷体简体"/>
          <w:sz w:val="32"/>
          <w:szCs w:val="32"/>
          <w:lang w:val="en-US" w:eastAsia="zh-CN"/>
        </w:rPr>
        <w:t>7、推进政府数据开放。</w:t>
      </w:r>
      <w:r>
        <w:rPr>
          <w:rFonts w:hint="eastAsia" w:ascii="仿宋" w:hAnsi="仿宋" w:eastAsia="仿宋" w:cs="仿宋"/>
          <w:sz w:val="32"/>
          <w:szCs w:val="32"/>
          <w:lang w:val="en-US" w:eastAsia="zh-CN"/>
        </w:rPr>
        <w:t>完善淄博公共数据开放网功能，加大政府数据归集开放力度，截止年底共开放</w:t>
      </w:r>
      <w:r>
        <w:rPr>
          <w:rFonts w:hint="default" w:ascii="仿宋" w:hAnsi="仿宋" w:eastAsia="仿宋" w:cs="仿宋"/>
          <w:sz w:val="32"/>
          <w:szCs w:val="32"/>
          <w:lang w:val="en-US" w:eastAsia="zh-CN"/>
        </w:rPr>
        <w:t>10个区县</w:t>
      </w:r>
      <w:r>
        <w:rPr>
          <w:rFonts w:hint="eastAsia" w:ascii="仿宋" w:hAnsi="仿宋" w:eastAsia="仿宋" w:cs="仿宋"/>
          <w:sz w:val="32"/>
          <w:szCs w:val="32"/>
          <w:lang w:val="en-US" w:eastAsia="zh-CN"/>
        </w:rPr>
        <w:t>（含</w:t>
      </w:r>
      <w:r>
        <w:drawing>
          <wp:anchor distT="0" distB="0" distL="114300" distR="114300" simplePos="0" relativeHeight="251679744" behindDoc="1" locked="0" layoutInCell="1" allowOverlap="1">
            <wp:simplePos x="0" y="0"/>
            <wp:positionH relativeFrom="column">
              <wp:posOffset>-179705</wp:posOffset>
            </wp:positionH>
            <wp:positionV relativeFrom="paragraph">
              <wp:posOffset>437515</wp:posOffset>
            </wp:positionV>
            <wp:extent cx="4319270" cy="3150870"/>
            <wp:effectExtent l="9525" t="9525" r="71755" b="78105"/>
            <wp:wrapTight wrapText="bothSides">
              <wp:wrapPolygon>
                <wp:start x="-48" y="-65"/>
                <wp:lineTo x="-48" y="21482"/>
                <wp:lineTo x="21578" y="21482"/>
                <wp:lineTo x="21578" y="-65"/>
                <wp:lineTo x="-48" y="-65"/>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4319270" cy="3150870"/>
                    </a:xfrm>
                    <a:prstGeom prst="rect">
                      <a:avLst/>
                    </a:prstGeom>
                    <a:noFill/>
                    <a:ln>
                      <a:solidFill>
                        <a:srgbClr val="0000FF"/>
                      </a:solidFill>
                    </a:ln>
                  </pic:spPr>
                </pic:pic>
              </a:graphicData>
            </a:graphic>
          </wp:anchor>
        </w:drawing>
      </w:r>
      <w:r>
        <w:rPr>
          <w:rFonts w:hint="eastAsia" w:ascii="仿宋" w:hAnsi="仿宋" w:eastAsia="仿宋" w:cs="仿宋"/>
          <w:sz w:val="32"/>
          <w:szCs w:val="32"/>
          <w:lang w:val="en-US" w:eastAsia="zh-CN"/>
        </w:rPr>
        <w:t>功能区）</w:t>
      </w:r>
      <w:r>
        <w:rPr>
          <w:rFonts w:hint="default" w:ascii="仿宋" w:hAnsi="仿宋" w:eastAsia="仿宋" w:cs="仿宋"/>
          <w:sz w:val="32"/>
          <w:szCs w:val="32"/>
          <w:lang w:val="en-US" w:eastAsia="zh-CN"/>
        </w:rPr>
        <w:t>，115个部门，10057个数据目录，163万条数据，1990条数据接口，20个创新应用</w:t>
      </w:r>
      <w:r>
        <w:rPr>
          <w:rFonts w:hint="eastAsia" w:ascii="仿宋" w:hAnsi="仿宋" w:eastAsia="仿宋" w:cs="仿宋"/>
          <w:sz w:val="32"/>
          <w:szCs w:val="32"/>
          <w:lang w:val="en-US" w:eastAsia="zh-CN"/>
        </w:rPr>
        <w:t>；平台注册用户11464个，访问量1742180次，数据下载量228189次，接口调用量40091次。</w:t>
      </w:r>
    </w:p>
    <w:p>
      <w:pPr>
        <w:numPr>
          <w:ilvl w:val="0"/>
          <w:numId w:val="1"/>
        </w:numPr>
        <w:ind w:firstLine="643" w:firstLineChars="200"/>
        <w:rPr>
          <w:rFonts w:hint="eastAsia" w:ascii="方正楷体简体" w:hAnsi="方正楷体简体" w:eastAsia="方正楷体简体" w:cs="方正楷体简体"/>
          <w:b/>
          <w:bCs/>
          <w:sz w:val="32"/>
          <w:szCs w:val="32"/>
        </w:rPr>
      </w:pPr>
      <w:r>
        <w:rPr>
          <w:rFonts w:hint="eastAsia" w:ascii="方正楷体简体" w:hAnsi="方正楷体简体" w:eastAsia="方正楷体简体" w:cs="方正楷体简体"/>
          <w:b/>
          <w:bCs/>
          <w:sz w:val="32"/>
          <w:szCs w:val="32"/>
          <w:lang w:eastAsia="zh-CN"/>
        </w:rPr>
        <w:t>依申请公开方面</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val="en-US" w:eastAsia="zh-CN"/>
        </w:rPr>
        <w:t>坚持以专业促规范，以规范促服务，持续提升政府信息公开申请办理答复质量。</w:t>
      </w:r>
      <w:r>
        <w:rPr>
          <w:rFonts w:hint="eastAsia" w:ascii="仿宋" w:hAnsi="仿宋" w:eastAsia="仿宋" w:cs="仿宋"/>
          <w:sz w:val="32"/>
          <w:szCs w:val="32"/>
          <w:lang w:eastAsia="zh-CN"/>
        </w:rPr>
        <w:t>市政府</w:t>
      </w:r>
      <w:r>
        <w:rPr>
          <w:rFonts w:hint="eastAsia" w:ascii="仿宋" w:hAnsi="仿宋" w:eastAsia="仿宋" w:cs="仿宋"/>
          <w:sz w:val="32"/>
          <w:szCs w:val="32"/>
        </w:rPr>
        <w:t>通过购买服务方式引入专业律师，</w:t>
      </w:r>
      <w:r>
        <w:rPr>
          <w:rFonts w:hint="eastAsia" w:ascii="仿宋" w:hAnsi="仿宋" w:eastAsia="仿宋" w:cs="仿宋"/>
          <w:sz w:val="32"/>
          <w:szCs w:val="32"/>
          <w:lang w:eastAsia="zh-CN"/>
        </w:rPr>
        <w:t>辅助开展政府信息公开非诉讼和诉讼工作，</w:t>
      </w:r>
      <w:r>
        <w:rPr>
          <w:rFonts w:hint="eastAsia" w:ascii="仿宋" w:hAnsi="仿宋" w:eastAsia="仿宋" w:cs="仿宋"/>
          <w:sz w:val="32"/>
          <w:szCs w:val="32"/>
        </w:rPr>
        <w:t>极大提高了依申请公开的专业性和规范性</w:t>
      </w:r>
      <w:r>
        <w:rPr>
          <w:rFonts w:hint="eastAsia" w:ascii="仿宋" w:hAnsi="仿宋" w:eastAsia="仿宋" w:cs="仿宋"/>
          <w:sz w:val="32"/>
          <w:szCs w:val="32"/>
          <w:lang w:eastAsia="zh-CN"/>
        </w:rPr>
        <w:t>。</w:t>
      </w:r>
      <w:r>
        <w:rPr>
          <w:rFonts w:hint="eastAsia" w:ascii="仿宋" w:hAnsi="仿宋" w:eastAsia="仿宋" w:cs="仿宋"/>
          <w:sz w:val="32"/>
          <w:szCs w:val="32"/>
        </w:rPr>
        <w:t>另外，依托专业律师</w:t>
      </w:r>
      <w:r>
        <w:rPr>
          <w:rFonts w:hint="eastAsia" w:ascii="仿宋" w:hAnsi="仿宋" w:eastAsia="仿宋" w:cs="仿宋"/>
          <w:sz w:val="32"/>
          <w:szCs w:val="32"/>
          <w:lang w:eastAsia="zh-CN"/>
        </w:rPr>
        <w:t>在全市范围</w:t>
      </w:r>
      <w:r>
        <w:rPr>
          <w:rFonts w:hint="eastAsia" w:ascii="仿宋" w:hAnsi="仿宋" w:eastAsia="仿宋" w:cs="仿宋"/>
          <w:sz w:val="32"/>
          <w:szCs w:val="32"/>
        </w:rPr>
        <w:t>开展了依申请公开</w:t>
      </w:r>
      <w:r>
        <w:rPr>
          <w:rFonts w:hint="eastAsia" w:ascii="仿宋" w:hAnsi="仿宋" w:eastAsia="仿宋" w:cs="仿宋"/>
          <w:sz w:val="32"/>
          <w:szCs w:val="32"/>
          <w:lang w:eastAsia="zh-CN"/>
        </w:rPr>
        <w:t>模拟</w:t>
      </w:r>
      <w:r>
        <w:rPr>
          <w:rFonts w:hint="eastAsia" w:ascii="仿宋" w:hAnsi="仿宋" w:eastAsia="仿宋" w:cs="仿宋"/>
          <w:sz w:val="32"/>
          <w:szCs w:val="32"/>
        </w:rPr>
        <w:t>暗访，</w:t>
      </w:r>
      <w:r>
        <w:rPr>
          <w:rFonts w:hint="eastAsia" w:ascii="仿宋" w:hAnsi="仿宋" w:eastAsia="仿宋" w:cs="仿宋"/>
          <w:sz w:val="32"/>
          <w:szCs w:val="32"/>
          <w:lang w:eastAsia="zh-CN"/>
        </w:rPr>
        <w:t>分</w:t>
      </w:r>
      <w:r>
        <w:rPr>
          <w:rFonts w:hint="eastAsia" w:ascii="仿宋" w:hAnsi="仿宋" w:eastAsia="仿宋" w:cs="仿宋"/>
          <w:sz w:val="32"/>
          <w:szCs w:val="32"/>
        </w:rPr>
        <w:t>2轮共向65家单位发出82件暗访申请，对答复情况进行了汇总分析，通过视频点评会的方式通报指出了存在的问题，就规范答复行为进行了详细讲解，</w:t>
      </w:r>
      <w:r>
        <w:rPr>
          <w:rFonts w:hint="eastAsia" w:ascii="仿宋" w:hAnsi="仿宋" w:eastAsia="仿宋" w:cs="仿宋"/>
          <w:sz w:val="32"/>
          <w:szCs w:val="32"/>
          <w:lang w:eastAsia="zh-CN"/>
        </w:rPr>
        <w:t>市、区县、镇（街道）三级</w:t>
      </w:r>
      <w:r>
        <w:rPr>
          <w:rFonts w:hint="eastAsia" w:ascii="仿宋" w:hAnsi="仿宋" w:eastAsia="仿宋" w:cs="仿宋"/>
          <w:sz w:val="32"/>
          <w:szCs w:val="32"/>
          <w:lang w:val="en-US" w:eastAsia="zh-CN"/>
        </w:rPr>
        <w:t>450余名政务公开工作人员参加了点评会，</w:t>
      </w:r>
      <w:r>
        <w:rPr>
          <w:rFonts w:hint="eastAsia" w:ascii="仿宋" w:hAnsi="仿宋" w:eastAsia="仿宋" w:cs="仿宋"/>
          <w:sz w:val="32"/>
          <w:szCs w:val="32"/>
        </w:rPr>
        <w:t>有效提升了各级</w:t>
      </w:r>
      <w:r>
        <w:rPr>
          <w:rFonts w:hint="eastAsia" w:ascii="仿宋" w:hAnsi="仿宋" w:eastAsia="仿宋" w:cs="仿宋"/>
          <w:sz w:val="32"/>
          <w:szCs w:val="32"/>
          <w:lang w:eastAsia="zh-CN"/>
        </w:rPr>
        <w:t>政府信息</w:t>
      </w:r>
      <w:r>
        <w:rPr>
          <w:rFonts w:hint="eastAsia" w:ascii="仿宋" w:hAnsi="仿宋" w:eastAsia="仿宋" w:cs="仿宋"/>
          <w:sz w:val="32"/>
          <w:szCs w:val="32"/>
        </w:rPr>
        <w:t>公开申请答复</w:t>
      </w:r>
      <w:r>
        <w:rPr>
          <w:rFonts w:hint="eastAsia" w:ascii="仿宋" w:hAnsi="仿宋" w:eastAsia="仿宋" w:cs="仿宋"/>
          <w:sz w:val="32"/>
          <w:szCs w:val="32"/>
          <w:lang w:eastAsia="zh-CN"/>
        </w:rPr>
        <w:t>水平</w:t>
      </w:r>
      <w:r>
        <w:rPr>
          <w:rFonts w:hint="eastAsia" w:ascii="仿宋" w:hAnsi="仿宋" w:eastAsia="仿宋" w:cs="仿宋"/>
          <w:sz w:val="32"/>
          <w:szCs w:val="32"/>
        </w:rPr>
        <w:t>和行政应诉能力</w:t>
      </w:r>
      <w:r>
        <w:rPr>
          <w:rFonts w:hint="eastAsia" w:ascii="仿宋" w:hAnsi="仿宋" w:eastAsia="仿宋" w:cs="仿宋"/>
          <w:sz w:val="32"/>
          <w:szCs w:val="32"/>
          <w:lang w:eastAsia="zh-CN"/>
        </w:rPr>
        <w:t>。</w:t>
      </w:r>
    </w:p>
    <w:p>
      <w:pPr>
        <w:ind w:firstLine="640" w:firstLineChars="200"/>
        <w:rPr>
          <w:rFonts w:hint="eastAsia" w:ascii="仿宋" w:hAnsi="仿宋" w:eastAsia="仿宋" w:cs="仿宋"/>
          <w:sz w:val="32"/>
          <w:szCs w:val="32"/>
          <w:lang w:eastAsia="zh-CN"/>
        </w:rPr>
      </w:pPr>
      <w:r>
        <w:rPr>
          <w:rFonts w:hint="eastAsia" w:ascii="方正楷体简体" w:hAnsi="方正楷体简体" w:eastAsia="方正楷体简体" w:cs="方正楷体简体"/>
          <w:b w:val="0"/>
          <w:bCs w:val="0"/>
          <w:sz w:val="32"/>
          <w:szCs w:val="32"/>
          <w:lang w:eastAsia="zh-CN"/>
        </w:rPr>
        <w:t>１、政府信息公开申请受理情况：</w:t>
      </w:r>
      <w:r>
        <w:rPr>
          <w:rFonts w:hint="eastAsia" w:ascii="仿宋" w:hAnsi="仿宋" w:eastAsia="仿宋" w:cs="仿宋"/>
          <w:sz w:val="32"/>
          <w:szCs w:val="32"/>
          <w:lang w:val="en-US" w:eastAsia="zh-CN"/>
        </w:rPr>
        <w:t>本年度</w:t>
      </w:r>
      <w:r>
        <w:rPr>
          <w:rFonts w:hint="eastAsia" w:ascii="仿宋" w:hAnsi="仿宋" w:eastAsia="仿宋" w:cs="仿宋"/>
          <w:sz w:val="32"/>
          <w:szCs w:val="32"/>
        </w:rPr>
        <w:t>全</w:t>
      </w:r>
      <w:r>
        <w:rPr>
          <w:rFonts w:hint="eastAsia" w:ascii="仿宋" w:hAnsi="仿宋" w:eastAsia="仿宋" w:cs="仿宋"/>
          <w:sz w:val="32"/>
          <w:szCs w:val="32"/>
          <w:lang w:eastAsia="zh-CN"/>
        </w:rPr>
        <w:t>市各级行政</w:t>
      </w:r>
    </w:p>
    <w:p>
      <w:pPr>
        <w:rPr>
          <w:rFonts w:hint="eastAsia" w:ascii="仿宋" w:hAnsi="仿宋" w:eastAsia="仿宋" w:cs="仿宋"/>
          <w:sz w:val="32"/>
          <w:szCs w:val="32"/>
        </w:rPr>
      </w:pPr>
      <w:r>
        <w:rPr>
          <w:rFonts w:hint="eastAsia" w:ascii="仿宋" w:hAnsi="仿宋" w:eastAsia="仿宋" w:cs="仿宋"/>
          <w:sz w:val="32"/>
          <w:szCs w:val="32"/>
        </w:rPr>
        <w:br w:type="page"/>
      </w:r>
    </w:p>
    <w:p>
      <w:pPr>
        <w:rPr>
          <w:rFonts w:hint="eastAsia" w:ascii="仿宋" w:hAnsi="仿宋" w:eastAsia="仿宋" w:cs="仿宋"/>
          <w:sz w:val="32"/>
          <w:szCs w:val="32"/>
          <w:lang w:eastAsia="zh-CN"/>
        </w:rPr>
      </w:pPr>
      <w:r>
        <w:rPr>
          <w:rFonts w:hint="eastAsia" w:ascii="仿宋" w:hAnsi="仿宋" w:eastAsia="仿宋" w:cs="仿宋"/>
          <w:sz w:val="32"/>
          <w:szCs w:val="32"/>
          <w:lang w:eastAsia="zh-CN"/>
        </w:rPr>
        <w:t>机关</w:t>
      </w:r>
      <w:r>
        <w:rPr>
          <w:rFonts w:hint="eastAsia" w:ascii="仿宋" w:hAnsi="仿宋" w:eastAsia="仿宋" w:cs="仿宋"/>
          <w:sz w:val="32"/>
          <w:szCs w:val="32"/>
        </w:rPr>
        <w:t>共</w:t>
      </w:r>
      <w:r>
        <w:rPr>
          <w:rFonts w:hint="eastAsia" w:ascii="仿宋" w:hAnsi="仿宋" w:eastAsia="仿宋" w:cs="仿宋"/>
          <w:sz w:val="32"/>
          <w:szCs w:val="32"/>
          <w:lang w:eastAsia="zh-CN"/>
        </w:rPr>
        <w:t>受理</w:t>
      </w:r>
      <w:r>
        <w:rPr>
          <w:rFonts w:hint="eastAsia" w:ascii="仿宋" w:hAnsi="仿宋" w:eastAsia="仿宋" w:cs="仿宋"/>
          <w:sz w:val="32"/>
          <w:szCs w:val="32"/>
        </w:rPr>
        <w:t>市</w:t>
      </w:r>
      <w:r>
        <w:rPr>
          <w:rFonts w:hint="eastAsia" w:ascii="仿宋" w:hAnsi="仿宋" w:eastAsia="仿宋" w:cs="仿宋"/>
          <w:sz w:val="32"/>
          <w:szCs w:val="32"/>
          <w:lang w:eastAsia="zh-CN"/>
        </w:rPr>
        <w:t>政府信息公开申请件</w:t>
      </w:r>
      <w:r>
        <w:rPr>
          <w:rFonts w:hint="eastAsia" w:ascii="仿宋" w:hAnsi="仿宋" w:eastAsia="仿宋" w:cs="仿宋"/>
          <w:sz w:val="32"/>
          <w:szCs w:val="32"/>
          <w:lang w:val="en-US" w:eastAsia="zh-CN"/>
        </w:rPr>
        <w:t>1399</w:t>
      </w:r>
      <w:r>
        <w:rPr>
          <w:rFonts w:hint="eastAsia" w:ascii="仿宋" w:hAnsi="仿宋" w:eastAsia="仿宋" w:cs="仿宋"/>
          <w:sz w:val="32"/>
          <w:szCs w:val="32"/>
          <w:lang w:eastAsia="zh-CN"/>
        </w:rPr>
        <w:t>件，同比增长</w:t>
      </w:r>
      <w:r>
        <w:rPr>
          <w:rFonts w:hint="eastAsia" w:ascii="仿宋" w:hAnsi="仿宋" w:eastAsia="仿宋" w:cs="仿宋"/>
          <w:sz w:val="32"/>
          <w:szCs w:val="32"/>
          <w:lang w:val="en-US" w:eastAsia="zh-CN"/>
        </w:rPr>
        <w:t>3.1 %。其中</w:t>
      </w:r>
      <w:r>
        <w:rPr>
          <w:rFonts w:hint="eastAsia" w:ascii="仿宋" w:hAnsi="仿宋" w:eastAsia="仿宋" w:cs="仿宋"/>
          <w:sz w:val="32"/>
          <w:szCs w:val="32"/>
          <w:lang w:eastAsia="zh-CN"/>
        </w:rPr>
        <w:t>自然人申请</w:t>
      </w:r>
      <w:r>
        <w:rPr>
          <w:rFonts w:hint="eastAsia" w:ascii="仿宋" w:hAnsi="仿宋" w:eastAsia="仿宋" w:cs="仿宋"/>
          <w:sz w:val="32"/>
          <w:szCs w:val="32"/>
          <w:lang w:val="en-US" w:eastAsia="zh-CN"/>
        </w:rPr>
        <w:t>1330件，</w:t>
      </w:r>
      <w:r>
        <w:rPr>
          <w:rFonts w:hint="eastAsia" w:ascii="仿宋" w:hAnsi="仿宋" w:eastAsia="仿宋" w:cs="仿宋"/>
          <w:sz w:val="32"/>
          <w:szCs w:val="32"/>
          <w:lang w:eastAsia="zh-CN"/>
        </w:rPr>
        <w:t>商业企业申请</w:t>
      </w:r>
      <w:r>
        <w:rPr>
          <w:rFonts w:hint="eastAsia" w:ascii="仿宋" w:hAnsi="仿宋" w:eastAsia="仿宋" w:cs="仿宋"/>
          <w:sz w:val="32"/>
          <w:szCs w:val="32"/>
          <w:lang w:val="en-US" w:eastAsia="zh-CN"/>
        </w:rPr>
        <w:t>45件，</w:t>
      </w:r>
      <w:r>
        <w:rPr>
          <w:rFonts w:hint="eastAsia" w:ascii="仿宋" w:hAnsi="仿宋" w:eastAsia="仿宋" w:cs="仿宋"/>
          <w:sz w:val="32"/>
          <w:szCs w:val="32"/>
          <w:lang w:eastAsia="zh-CN"/>
        </w:rPr>
        <w:t>科研机构申请</w:t>
      </w:r>
      <w:r>
        <w:rPr>
          <w:rFonts w:hint="eastAsia" w:ascii="仿宋" w:hAnsi="仿宋" w:eastAsia="仿宋" w:cs="仿宋"/>
          <w:sz w:val="32"/>
          <w:szCs w:val="32"/>
          <w:lang w:val="en-US" w:eastAsia="zh-CN"/>
        </w:rPr>
        <w:t>17件，</w:t>
      </w:r>
      <w:r>
        <w:rPr>
          <w:rFonts w:hint="eastAsia" w:ascii="仿宋" w:hAnsi="仿宋" w:eastAsia="仿宋" w:cs="仿宋"/>
          <w:sz w:val="32"/>
          <w:szCs w:val="32"/>
          <w:lang w:eastAsia="zh-CN"/>
        </w:rPr>
        <w:t>社会公益组织申请</w:t>
      </w:r>
      <w:r>
        <w:rPr>
          <w:rFonts w:hint="eastAsia" w:ascii="仿宋" w:hAnsi="仿宋" w:eastAsia="仿宋" w:cs="仿宋"/>
          <w:sz w:val="32"/>
          <w:szCs w:val="32"/>
          <w:lang w:val="en-US" w:eastAsia="zh-CN"/>
        </w:rPr>
        <w:t>5件，</w:t>
      </w:r>
      <w:r>
        <w:rPr>
          <w:rFonts w:hint="eastAsia" w:ascii="仿宋" w:hAnsi="仿宋" w:eastAsia="仿宋" w:cs="仿宋"/>
          <w:sz w:val="32"/>
          <w:szCs w:val="32"/>
          <w:lang w:eastAsia="zh-CN"/>
        </w:rPr>
        <w:t>法律服务机构申请</w:t>
      </w:r>
      <w:r>
        <w:rPr>
          <w:rFonts w:hint="eastAsia" w:ascii="仿宋" w:hAnsi="仿宋" w:eastAsia="仿宋" w:cs="仿宋"/>
          <w:sz w:val="32"/>
          <w:szCs w:val="32"/>
          <w:lang w:val="en-US" w:eastAsia="zh-CN"/>
        </w:rPr>
        <w:t>1件，其他申请人申请1件。申请内容主要集中在集体土地征地、国有土地上房屋征收、棚户区改造、社会保障等领域。</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eastAsia="zh-CN"/>
        </w:rPr>
        <w:drawing>
          <wp:anchor distT="0" distB="0" distL="114300" distR="114300" simplePos="0" relativeHeight="251658240" behindDoc="1" locked="0" layoutInCell="1" allowOverlap="1">
            <wp:simplePos x="0" y="0"/>
            <wp:positionH relativeFrom="column">
              <wp:posOffset>26670</wp:posOffset>
            </wp:positionH>
            <wp:positionV relativeFrom="paragraph">
              <wp:posOffset>104140</wp:posOffset>
            </wp:positionV>
            <wp:extent cx="5335905" cy="2570480"/>
            <wp:effectExtent l="6350" t="6350" r="10795" b="13970"/>
            <wp:wrapTight wrapText="bothSides">
              <wp:wrapPolygon>
                <wp:start x="-26" y="-53"/>
                <wp:lineTo x="-26" y="21557"/>
                <wp:lineTo x="21567" y="21557"/>
                <wp:lineTo x="21567" y="-53"/>
                <wp:lineTo x="-26" y="-53"/>
              </wp:wrapPolygon>
            </wp:wrapTight>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hint="eastAsia" w:ascii="仿宋" w:hAnsi="仿宋" w:eastAsia="仿宋" w:cs="仿宋"/>
          <w:sz w:val="32"/>
          <w:szCs w:val="32"/>
          <w:lang w:val="en-US" w:eastAsia="zh-CN"/>
        </w:rPr>
        <w:drawing>
          <wp:anchor distT="0" distB="0" distL="114300" distR="114300" simplePos="0" relativeHeight="251668480" behindDoc="1" locked="0" layoutInCell="1" allowOverlap="1">
            <wp:simplePos x="0" y="0"/>
            <wp:positionH relativeFrom="column">
              <wp:posOffset>-15240</wp:posOffset>
            </wp:positionH>
            <wp:positionV relativeFrom="paragraph">
              <wp:posOffset>4623435</wp:posOffset>
            </wp:positionV>
            <wp:extent cx="5656580" cy="2265680"/>
            <wp:effectExtent l="6350" t="6350" r="13970" b="13970"/>
            <wp:wrapTight wrapText="bothSides">
              <wp:wrapPolygon>
                <wp:start x="-24" y="-61"/>
                <wp:lineTo x="-24" y="21552"/>
                <wp:lineTo x="21581" y="21552"/>
                <wp:lineTo x="21581" y="-61"/>
                <wp:lineTo x="-24" y="-61"/>
              </wp:wrapPolygon>
            </wp:wrapTight>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hint="eastAsia" w:ascii="方正楷体简体" w:hAnsi="方正楷体简体" w:eastAsia="方正楷体简体" w:cs="方正楷体简体"/>
          <w:b w:val="0"/>
          <w:bCs w:val="0"/>
          <w:sz w:val="32"/>
          <w:szCs w:val="32"/>
          <w:lang w:val="en-US" w:eastAsia="zh-CN"/>
        </w:rPr>
        <w:t>２、政府信息公开申请答复情况：</w:t>
      </w:r>
      <w:r>
        <w:rPr>
          <w:rFonts w:hint="eastAsia" w:ascii="仿宋" w:hAnsi="仿宋" w:eastAsia="仿宋" w:cs="仿宋"/>
          <w:sz w:val="32"/>
          <w:szCs w:val="32"/>
          <w:lang w:val="en-US" w:eastAsia="zh-CN"/>
        </w:rPr>
        <w:t>本年度办理政府信息公开申请1396件（含上年结转），其中予以公开910件，占65.19%；部分公开82件，占5.87%；不予公开63件，占4.51%；无法提供262件，占18.77%；不予处理8件，占0.057%；其他处理71件，占5.09%。</w:t>
      </w:r>
    </w:p>
    <w:p>
      <w:pPr>
        <w:ind w:firstLine="640" w:firstLineChars="200"/>
        <w:rPr>
          <w:rFonts w:hint="eastAsia" w:ascii="仿宋" w:hAnsi="仿宋" w:eastAsia="仿宋" w:cs="仿宋"/>
          <w:sz w:val="32"/>
          <w:szCs w:val="32"/>
          <w:lang w:val="en-US" w:eastAsia="zh-CN"/>
        </w:rPr>
      </w:pPr>
      <w:r>
        <w:rPr>
          <w:rFonts w:hint="default" w:ascii="仿宋" w:hAnsi="仿宋" w:eastAsia="仿宋" w:cs="仿宋"/>
          <w:sz w:val="32"/>
          <w:szCs w:val="32"/>
          <w:lang w:val="en-US" w:eastAsia="zh-CN"/>
        </w:rPr>
        <w:drawing>
          <wp:anchor distT="0" distB="0" distL="114300" distR="114300" simplePos="0" relativeHeight="251659264" behindDoc="1" locked="0" layoutInCell="1" allowOverlap="1">
            <wp:simplePos x="0" y="0"/>
            <wp:positionH relativeFrom="column">
              <wp:posOffset>22225</wp:posOffset>
            </wp:positionH>
            <wp:positionV relativeFrom="paragraph">
              <wp:posOffset>1652270</wp:posOffset>
            </wp:positionV>
            <wp:extent cx="5285740" cy="2743835"/>
            <wp:effectExtent l="6350" t="6350" r="22860" b="12065"/>
            <wp:wrapTight wrapText="bothSides">
              <wp:wrapPolygon>
                <wp:start x="-26" y="-50"/>
                <wp:lineTo x="-26" y="21545"/>
                <wp:lineTo x="21538" y="21545"/>
                <wp:lineTo x="21538" y="-50"/>
                <wp:lineTo x="-26" y="-50"/>
              </wp:wrapPolygon>
            </wp:wrapTight>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hint="eastAsia" w:ascii="仿宋" w:hAnsi="仿宋" w:eastAsia="仿宋" w:cs="仿宋"/>
          <w:sz w:val="32"/>
          <w:szCs w:val="32"/>
          <w:lang w:val="en-US" w:eastAsia="zh-CN"/>
        </w:rPr>
        <w:t>在不予公开的63件中，属于国家秘密的2件，其他法律行政法规禁止公开的4件，危及“三安全一稳定”的0件，保护第三方合法权益的8件，属于三类内部事务信息的27件，属于四类过程性信息的13件，属于行政执法案卷的8件，属于行政查询事项的1件。</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在无法提供的262件中，本机关不掌握相关政府信息的245件，没有现成信息需要另行制作的16件，补正后申请内容仍不明确的1件。</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在不予处理的8件中，信访举报投诉类申请2件，重复申请3件，无正当理由大量反复申请的3件。</w:t>
      </w:r>
    </w:p>
    <w:p>
      <w:pPr>
        <w:ind w:firstLine="640" w:firstLineChars="200"/>
        <w:rPr>
          <w:rFonts w:hint="eastAsia" w:ascii="仿宋" w:hAnsi="仿宋" w:eastAsia="仿宋" w:cs="仿宋"/>
          <w:sz w:val="32"/>
          <w:szCs w:val="32"/>
          <w:lang w:val="en-US" w:eastAsia="zh-CN"/>
        </w:rPr>
      </w:pPr>
      <w:r>
        <w:rPr>
          <w:rFonts w:hint="eastAsia" w:ascii="方正楷体简体" w:hAnsi="方正楷体简体" w:eastAsia="方正楷体简体" w:cs="方正楷体简体"/>
          <w:b w:val="0"/>
          <w:bCs w:val="0"/>
          <w:sz w:val="32"/>
          <w:szCs w:val="32"/>
          <w:lang w:val="en-US" w:eastAsia="zh-CN"/>
        </w:rPr>
        <w:t>３、政府信息公开申请收费和减免情况：</w:t>
      </w:r>
      <w:r>
        <w:rPr>
          <w:rFonts w:hint="eastAsia" w:ascii="仿宋" w:hAnsi="仿宋" w:eastAsia="仿宋" w:cs="仿宋"/>
          <w:sz w:val="32"/>
          <w:szCs w:val="32"/>
          <w:lang w:val="en-US" w:eastAsia="zh-CN"/>
        </w:rPr>
        <w:t>本年度全市各级行政机关依申请公开政府信息未收取任何费用。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方正楷体简体" w:hAnsi="方正楷体简体" w:eastAsia="方正楷体简体" w:cs="方正楷体简体"/>
          <w:b w:val="0"/>
          <w:bCs w:val="0"/>
          <w:sz w:val="32"/>
          <w:szCs w:val="32"/>
          <w:lang w:val="en-US" w:eastAsia="zh-CN"/>
        </w:rPr>
        <w:t>４、政府信息公开行政复议、行政诉讼情况：</w:t>
      </w:r>
      <w:r>
        <w:rPr>
          <w:rFonts w:hint="eastAsia" w:ascii="仿宋" w:hAnsi="仿宋" w:eastAsia="仿宋" w:cs="仿宋"/>
          <w:sz w:val="32"/>
          <w:szCs w:val="32"/>
          <w:lang w:val="en-US" w:eastAsia="zh-CN"/>
        </w:rPr>
        <w:t>本年度全市各级行政机关因政府信息公开被申请行政复议167起。其中，结果维持124起、结果纠正25起、其他结果5起（申请人撤回申请等）、尚未审结13起。</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70528" behindDoc="1" locked="0" layoutInCell="1" allowOverlap="1">
            <wp:simplePos x="0" y="0"/>
            <wp:positionH relativeFrom="column">
              <wp:posOffset>-110490</wp:posOffset>
            </wp:positionH>
            <wp:positionV relativeFrom="paragraph">
              <wp:posOffset>8890</wp:posOffset>
            </wp:positionV>
            <wp:extent cx="5539105" cy="3412490"/>
            <wp:effectExtent l="6350" t="6350" r="17145" b="10160"/>
            <wp:wrapTight wrapText="bothSides">
              <wp:wrapPolygon>
                <wp:start x="-25" y="-40"/>
                <wp:lineTo x="-25" y="21544"/>
                <wp:lineTo x="21518" y="21544"/>
                <wp:lineTo x="21518" y="-40"/>
                <wp:lineTo x="-25" y="-40"/>
              </wp:wrapPolygon>
            </wp:wrapTight>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hint="eastAsia" w:ascii="仿宋" w:hAnsi="仿宋" w:eastAsia="仿宋" w:cs="仿宋"/>
          <w:sz w:val="32"/>
          <w:szCs w:val="32"/>
          <w:lang w:val="en-US" w:eastAsia="zh-CN"/>
        </w:rPr>
        <w:drawing>
          <wp:anchor distT="0" distB="0" distL="114300" distR="114300" simplePos="0" relativeHeight="251669504" behindDoc="1" locked="0" layoutInCell="1" allowOverlap="1">
            <wp:simplePos x="0" y="0"/>
            <wp:positionH relativeFrom="column">
              <wp:posOffset>-179070</wp:posOffset>
            </wp:positionH>
            <wp:positionV relativeFrom="paragraph">
              <wp:posOffset>5211445</wp:posOffset>
            </wp:positionV>
            <wp:extent cx="5594350" cy="3006725"/>
            <wp:effectExtent l="6350" t="6350" r="19050" b="15875"/>
            <wp:wrapTight wrapText="bothSides">
              <wp:wrapPolygon>
                <wp:start x="-25" y="-46"/>
                <wp:lineTo x="-25" y="21577"/>
                <wp:lineTo x="21526" y="21577"/>
                <wp:lineTo x="21526" y="-46"/>
                <wp:lineTo x="-25" y="-46"/>
              </wp:wrapPolygon>
            </wp:wrapTight>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hint="eastAsia" w:ascii="仿宋" w:hAnsi="仿宋" w:eastAsia="仿宋" w:cs="仿宋"/>
          <w:sz w:val="32"/>
          <w:szCs w:val="32"/>
          <w:lang w:val="en-US" w:eastAsia="zh-CN"/>
        </w:rPr>
        <w:t>本年度全市各级行政机关因政府信息公开被提起行政诉讼135起。其中，未经复议直接起诉98起，复议后起诉37起；结果维持85起，结果纠正17起，其他结果（原告撤诉、和解等）16起，尚未审结17起。</w:t>
      </w:r>
    </w:p>
    <w:p>
      <w:pPr>
        <w:numPr>
          <w:ilvl w:val="0"/>
          <w:numId w:val="1"/>
        </w:numPr>
        <w:ind w:firstLine="643" w:firstLineChars="200"/>
        <w:rPr>
          <w:rFonts w:hint="eastAsia" w:ascii="方正楷体简体" w:hAnsi="方正楷体简体" w:eastAsia="方正楷体简体" w:cs="方正楷体简体"/>
          <w:b/>
          <w:bCs/>
          <w:sz w:val="32"/>
          <w:szCs w:val="32"/>
        </w:rPr>
      </w:pPr>
      <w:r>
        <w:rPr>
          <w:rFonts w:hint="eastAsia" w:ascii="方正楷体简体" w:hAnsi="方正楷体简体" w:eastAsia="方正楷体简体" w:cs="方正楷体简体"/>
          <w:b/>
          <w:bCs/>
          <w:sz w:val="32"/>
          <w:szCs w:val="32"/>
          <w:lang w:eastAsia="zh-CN"/>
        </w:rPr>
        <w:t>政府信息管理方面</w:t>
      </w:r>
    </w:p>
    <w:p>
      <w:pPr>
        <w:numPr>
          <w:ilvl w:val="0"/>
          <w:numId w:val="0"/>
        </w:numPr>
        <w:ind w:firstLine="420" w:firstLineChars="200"/>
        <w:rPr>
          <w:rFonts w:hint="eastAsia" w:ascii="Times New Roman" w:hAnsi="Times New Roman" w:eastAsia="仿宋_GB2312" w:cs="Times New Roman"/>
          <w:sz w:val="32"/>
          <w:szCs w:val="32"/>
          <w:lang w:val="en-US" w:eastAsia="zh-CN"/>
        </w:rPr>
      </w:pPr>
      <w:r>
        <w:drawing>
          <wp:anchor distT="0" distB="0" distL="114300" distR="114300" simplePos="0" relativeHeight="251681792" behindDoc="1" locked="0" layoutInCell="1" allowOverlap="1">
            <wp:simplePos x="0" y="0"/>
            <wp:positionH relativeFrom="column">
              <wp:posOffset>-164465</wp:posOffset>
            </wp:positionH>
            <wp:positionV relativeFrom="paragraph">
              <wp:posOffset>448945</wp:posOffset>
            </wp:positionV>
            <wp:extent cx="2520315" cy="3507740"/>
            <wp:effectExtent l="9525" t="9525" r="60960" b="64135"/>
            <wp:wrapTight wrapText="bothSides">
              <wp:wrapPolygon>
                <wp:start x="-82" y="-59"/>
                <wp:lineTo x="-82" y="21526"/>
                <wp:lineTo x="21469" y="21526"/>
                <wp:lineTo x="21469" y="-59"/>
                <wp:lineTo x="-82" y="-59"/>
              </wp:wrapPolygon>
            </wp:wrapTight>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7"/>
                    <a:stretch>
                      <a:fillRect/>
                    </a:stretch>
                  </pic:blipFill>
                  <pic:spPr>
                    <a:xfrm>
                      <a:off x="0" y="0"/>
                      <a:ext cx="2520315" cy="3507740"/>
                    </a:xfrm>
                    <a:prstGeom prst="rect">
                      <a:avLst/>
                    </a:prstGeom>
                    <a:noFill/>
                    <a:ln>
                      <a:solidFill>
                        <a:srgbClr val="0000FF"/>
                      </a:solidFill>
                    </a:ln>
                  </pic:spPr>
                </pic:pic>
              </a:graphicData>
            </a:graphic>
          </wp:anchor>
        </w:drawing>
      </w:r>
      <w:r>
        <w:rPr>
          <w:rFonts w:hint="eastAsia" w:ascii="方正楷体简体" w:hAnsi="方正楷体简体" w:eastAsia="方正楷体简体" w:cs="方正楷体简体"/>
          <w:b w:val="0"/>
          <w:bCs w:val="0"/>
          <w:sz w:val="32"/>
          <w:szCs w:val="32"/>
          <w:lang w:val="en-US" w:eastAsia="zh-CN"/>
        </w:rPr>
        <w:t>１、组织开展政府信息公开目录梳理。</w:t>
      </w:r>
      <w:r>
        <w:rPr>
          <w:rFonts w:hint="eastAsia" w:ascii="Times New Roman" w:hAnsi="Times New Roman" w:eastAsia="仿宋_GB2312" w:cs="Times New Roman"/>
          <w:sz w:val="32"/>
          <w:szCs w:val="32"/>
          <w:lang w:val="en-US" w:eastAsia="zh-CN"/>
        </w:rPr>
        <w:t>年内制定《淄博市政府信息公开目录编制调整工作方案》，组织市、区县、镇办三级532个行政事业单位完成目录梳理编制，并在政府网站统一公开，摸清了政府信息底数。</w:t>
      </w:r>
    </w:p>
    <w:p>
      <w:pPr>
        <w:numPr>
          <w:ilvl w:val="0"/>
          <w:numId w:val="0"/>
        </w:numPr>
        <w:ind w:firstLine="420" w:firstLineChars="200"/>
        <w:rPr>
          <w:rFonts w:hint="eastAsia" w:ascii="Times New Roman" w:hAnsi="Times New Roman" w:eastAsia="仿宋_GB2312" w:cs="Times New Roman"/>
          <w:sz w:val="32"/>
          <w:szCs w:val="32"/>
          <w:lang w:val="en-US" w:eastAsia="zh-CN"/>
        </w:rPr>
      </w:pPr>
      <w:r>
        <w:drawing>
          <wp:anchor distT="0" distB="0" distL="114300" distR="114300" simplePos="0" relativeHeight="251680768" behindDoc="1" locked="0" layoutInCell="1" allowOverlap="1">
            <wp:simplePos x="0" y="0"/>
            <wp:positionH relativeFrom="column">
              <wp:posOffset>462280</wp:posOffset>
            </wp:positionH>
            <wp:positionV relativeFrom="paragraph">
              <wp:posOffset>2026920</wp:posOffset>
            </wp:positionV>
            <wp:extent cx="2557780" cy="3099435"/>
            <wp:effectExtent l="9525" t="9525" r="23495" b="0"/>
            <wp:wrapTight wrapText="bothSides">
              <wp:wrapPolygon>
                <wp:start x="-80" y="-66"/>
                <wp:lineTo x="-80" y="21573"/>
                <wp:lineTo x="21477" y="21573"/>
                <wp:lineTo x="21477" y="-66"/>
                <wp:lineTo x="-80" y="-66"/>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2557780" cy="3099435"/>
                    </a:xfrm>
                    <a:prstGeom prst="rect">
                      <a:avLst/>
                    </a:prstGeom>
                    <a:noFill/>
                    <a:ln>
                      <a:solidFill>
                        <a:srgbClr val="0000FF"/>
                      </a:solidFill>
                    </a:ln>
                  </pic:spPr>
                </pic:pic>
              </a:graphicData>
            </a:graphic>
          </wp:anchor>
        </w:drawing>
      </w:r>
      <w:r>
        <w:rPr>
          <w:rFonts w:hint="eastAsia" w:ascii="方正楷体简体" w:hAnsi="方正楷体简体" w:eastAsia="方正楷体简体" w:cs="方正楷体简体"/>
          <w:b w:val="0"/>
          <w:bCs w:val="0"/>
          <w:sz w:val="32"/>
          <w:szCs w:val="32"/>
          <w:lang w:val="en-US" w:eastAsia="zh-CN"/>
        </w:rPr>
        <w:t>２、对政府信息实行全生命周期管理。（</w:t>
      </w:r>
      <w:r>
        <w:rPr>
          <w:rFonts w:hint="eastAsia" w:ascii="Times New Roman" w:hAnsi="Times New Roman" w:eastAsia="仿宋_GB2312" w:cs="Times New Roman"/>
          <w:sz w:val="32"/>
          <w:szCs w:val="32"/>
          <w:lang w:val="en-US" w:eastAsia="zh-CN"/>
        </w:rPr>
        <w:t>1）在市政府网站设置政策文件专页，集中发布地方性法规、政府规章、市政府及政府部门文件、党委政府联合行文的文件，同时明确标注成文日期、发布日期和效力状态。（2）在市政府网站设置规范性文件专栏，公开规范性文件制发主体和所制发的规范性文件，按季度公布市政府、区县政府及政府部门制定的规范性文件目录。（3）制定《淄博市行政规范性文件管理办法》（淄政发〔2020〕13号），组织开展规范性文件清理，年内通过《淄博市人民政府关于继续执行部分市政府行政规范性文件的通知》（淄政字〔2020〕103号）公布了决定继续执行的《淄博市人民政府关于进一步加强土地使用权管理的决定》等30件有效期届满的市政府行政规范性文件；通过《淄博市人民政府关于废止部分文件的通知》（淄政字〔2020〕55号）公布了决定废止的《淄博市国有企业破产实施意见（试行）》等3件规范性文件；通过《淄博市人民政府办公室关于废止&lt;淄博市人民政府办公厅关于完善公积金管理扩大住房消费的实施意见&gt;的通知》（淄政办字〔2020〕59号）废止了1件规范性文件，修改废止信息及时向社会公布，同时在政府网站同步修改相关文件的效力状态，以便公众查阅利用。</w:t>
      </w:r>
    </w:p>
    <w:p>
      <w:pPr>
        <w:numPr>
          <w:ilvl w:val="0"/>
          <w:numId w:val="1"/>
        </w:numPr>
        <w:ind w:firstLine="643" w:firstLineChars="200"/>
        <w:rPr>
          <w:rFonts w:hint="eastAsia" w:ascii="方正楷体简体" w:hAnsi="方正楷体简体" w:eastAsia="方正楷体简体" w:cs="方正楷体简体"/>
          <w:b/>
          <w:bCs/>
          <w:sz w:val="32"/>
          <w:szCs w:val="32"/>
        </w:rPr>
      </w:pPr>
      <w:r>
        <w:rPr>
          <w:rFonts w:hint="eastAsia" w:ascii="方正楷体简体" w:hAnsi="方正楷体简体" w:eastAsia="方正楷体简体" w:cs="方正楷体简体"/>
          <w:b/>
          <w:bCs/>
          <w:sz w:val="32"/>
          <w:szCs w:val="32"/>
          <w:lang w:eastAsia="zh-CN"/>
        </w:rPr>
        <w:t>平台建设方面</w:t>
      </w:r>
    </w:p>
    <w:p>
      <w:pPr>
        <w:ind w:firstLine="640" w:firstLineChars="200"/>
        <w:rPr>
          <w:rFonts w:hint="eastAsia" w:ascii="仿宋" w:hAnsi="仿宋" w:eastAsia="仿宋" w:cs="仿宋"/>
          <w:sz w:val="32"/>
          <w:szCs w:val="32"/>
          <w:lang w:val="en-US" w:eastAsia="zh-CN"/>
        </w:rPr>
      </w:pPr>
      <w:r>
        <w:rPr>
          <w:rFonts w:hint="eastAsia" w:ascii="方正楷体简体" w:hAnsi="方正楷体简体" w:eastAsia="方正楷体简体" w:cs="方正楷体简体"/>
          <w:b w:val="0"/>
          <w:bCs w:val="0"/>
          <w:sz w:val="32"/>
          <w:szCs w:val="32"/>
          <w:lang w:val="en-US" w:eastAsia="zh-CN"/>
        </w:rPr>
        <w:t>１、加强政府网站建设管理。</w:t>
      </w:r>
      <w:r>
        <w:rPr>
          <w:rFonts w:hint="eastAsia" w:ascii="仿宋" w:hAnsi="仿宋" w:eastAsia="仿宋" w:cs="仿宋"/>
          <w:sz w:val="32"/>
          <w:szCs w:val="32"/>
          <w:lang w:val="en-US" w:eastAsia="zh-CN"/>
        </w:rPr>
        <w:t>截止报告期末，全市各级行政机关共开通政府网站59家,其中，市政府门户网站1家，区县政府（含功能区管委会）门户网站11家，市直部门网站47家。加强政府网站的日常监管，每季度通报各政府网站栏目建设、信息更新和网站安全等问题，持续推动政府网站建设水平。</w:t>
      </w:r>
    </w:p>
    <w:p>
      <w:pPr>
        <w:ind w:firstLine="640" w:firstLineChars="200"/>
        <w:rPr>
          <w:rFonts w:hint="eastAsia" w:ascii="仿宋" w:hAnsi="仿宋" w:eastAsia="仿宋" w:cs="仿宋"/>
          <w:sz w:val="32"/>
          <w:szCs w:val="32"/>
          <w:lang w:val="en-US" w:eastAsia="zh-CN"/>
        </w:rPr>
      </w:pPr>
      <w:r>
        <w:rPr>
          <w:rFonts w:hint="eastAsia" w:ascii="方正楷体简体" w:hAnsi="方正楷体简体" w:eastAsia="方正楷体简体" w:cs="方正楷体简体"/>
          <w:b w:val="0"/>
          <w:bCs w:val="0"/>
          <w:sz w:val="32"/>
          <w:szCs w:val="32"/>
          <w:lang w:val="en-US" w:eastAsia="zh-CN"/>
        </w:rPr>
        <w:t>２、实施全市统一的政府信息公开平台建设。</w:t>
      </w:r>
      <w:r>
        <w:rPr>
          <w:rFonts w:hint="eastAsia" w:ascii="仿宋" w:hAnsi="仿宋" w:eastAsia="仿宋" w:cs="仿宋"/>
          <w:sz w:val="32"/>
          <w:szCs w:val="32"/>
          <w:lang w:val="en-US" w:eastAsia="zh-CN"/>
        </w:rPr>
        <w:t>7月份，我市启动全市统一的政府信息公开平台升级改造，高效完成项目策划、方案编制、专家评审、投资评审、招投标以及系统开发、数据迁移、操作培训等工作，项目覆盖市、区县、镇（街道）三级计532个行政、事业单位，新平台2021年1</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月1日正式上线运行，平台功能大幅提升，为将来融入全省、全国统一的公开平台奠定了基础。</w:t>
      </w:r>
    </w:p>
    <w:p>
      <w:pPr>
        <w:ind w:firstLine="640" w:firstLineChars="200"/>
        <w:rPr>
          <w:rFonts w:hint="eastAsia" w:ascii="仿宋" w:hAnsi="仿宋" w:eastAsia="仿宋" w:cs="仿宋"/>
          <w:sz w:val="32"/>
          <w:szCs w:val="32"/>
          <w:lang w:val="en-US" w:eastAsia="zh-CN"/>
        </w:rPr>
      </w:pPr>
      <w:r>
        <w:rPr>
          <w:rFonts w:hint="eastAsia" w:ascii="方正楷体简体" w:hAnsi="方正楷体简体" w:eastAsia="方正楷体简体" w:cs="方正楷体简体"/>
          <w:b w:val="0"/>
          <w:bCs w:val="0"/>
          <w:sz w:val="32"/>
          <w:szCs w:val="32"/>
          <w:lang w:val="en-US" w:eastAsia="zh-CN"/>
        </w:rPr>
        <w:t>３、加强政务新媒体建设管理。</w:t>
      </w:r>
      <w:r>
        <w:rPr>
          <w:rFonts w:hint="eastAsia" w:ascii="仿宋" w:hAnsi="仿宋" w:eastAsia="仿宋" w:cs="仿宋"/>
          <w:sz w:val="32"/>
          <w:szCs w:val="32"/>
          <w:lang w:val="en-US" w:eastAsia="zh-CN"/>
        </w:rPr>
        <w:t>截止报告期末，全市共有268个行政事业单位开通政务新媒体417个。加强新媒体监管，每季度对信息发布、互动回应、备案管理等方面存在的问题进行通报，持续提升政务新媒体建设水平，充分发挥其在政府信息公开和政民互动方面的作用。</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72576" behindDoc="1" locked="0" layoutInCell="1" allowOverlap="1">
            <wp:simplePos x="0" y="0"/>
            <wp:positionH relativeFrom="column">
              <wp:posOffset>1933575</wp:posOffset>
            </wp:positionH>
            <wp:positionV relativeFrom="paragraph">
              <wp:posOffset>161290</wp:posOffset>
            </wp:positionV>
            <wp:extent cx="3587750" cy="3249295"/>
            <wp:effectExtent l="9525" t="9525" r="22225" b="17780"/>
            <wp:wrapTight wrapText="bothSides">
              <wp:wrapPolygon>
                <wp:start x="-57" y="-63"/>
                <wp:lineTo x="-57" y="21592"/>
                <wp:lineTo x="21504" y="21592"/>
                <wp:lineTo x="21504" y="-63"/>
                <wp:lineTo x="-57" y="-63"/>
              </wp:wrapPolygon>
            </wp:wrapTight>
            <wp:docPr id="20" name="图片 20" descr="1615188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15188074(1)"/>
                    <pic:cNvPicPr>
                      <a:picLocks noChangeAspect="1"/>
                    </pic:cNvPicPr>
                  </pic:nvPicPr>
                  <pic:blipFill>
                    <a:blip r:embed="rId19"/>
                    <a:stretch>
                      <a:fillRect/>
                    </a:stretch>
                  </pic:blipFill>
                  <pic:spPr>
                    <a:xfrm>
                      <a:off x="0" y="0"/>
                      <a:ext cx="3587750" cy="3249295"/>
                    </a:xfrm>
                    <a:prstGeom prst="rect">
                      <a:avLst/>
                    </a:prstGeom>
                    <a:ln>
                      <a:solidFill>
                        <a:srgbClr val="0000FF"/>
                      </a:solidFill>
                    </a:ln>
                  </pic:spPr>
                </pic:pic>
              </a:graphicData>
            </a:graphic>
          </wp:anchor>
        </w:drawing>
      </w:r>
      <w:r>
        <w:rPr>
          <w:rFonts w:hint="eastAsia" w:ascii="方正楷体简体" w:hAnsi="方正楷体简体" w:eastAsia="方正楷体简体" w:cs="方正楷体简体"/>
          <w:b w:val="0"/>
          <w:bCs w:val="0"/>
          <w:sz w:val="32"/>
          <w:szCs w:val="32"/>
          <w:lang w:val="en-US" w:eastAsia="zh-CN"/>
        </w:rPr>
        <w:t>４、高频次召开新闻发布会。</w:t>
      </w:r>
      <w:r>
        <w:rPr>
          <w:rFonts w:hint="eastAsia" w:ascii="仿宋" w:hAnsi="仿宋" w:eastAsia="仿宋" w:cs="仿宋"/>
          <w:sz w:val="32"/>
          <w:szCs w:val="32"/>
          <w:lang w:val="en-US" w:eastAsia="zh-CN"/>
        </w:rPr>
        <w:t>市政府新闻办制定加强改进新闻发布工作的意见措施，年内市政府新闻办组织召开新闻发布会67场，其中“十三五巡礼”系列发布会17场，系统发布“十三五”期间我市经济社会发展取得的成就，提升群众获得感；另外，还通过新闻发布会发布了群众普遍关心的疫情防控、减税费优服务、扫黑除恶、食药打假、诚信红黑榜、电子身份证等政策措施和工作成效。各区县、市政府各部门也积极通过新闻发布会发布政府信息，其中区县政府组织召开32场，市政府部门单位组织召开20场。</w:t>
      </w:r>
    </w:p>
    <w:p>
      <w:pPr>
        <w:rPr>
          <w:rFonts w:hint="eastAsia" w:ascii="方正楷体简体" w:hAnsi="方正楷体简体" w:eastAsia="方正楷体简体" w:cs="方正楷体简体"/>
          <w:b w:val="0"/>
          <w:bCs w:val="0"/>
          <w:sz w:val="32"/>
          <w:szCs w:val="32"/>
          <w:lang w:val="en-US" w:eastAsia="zh-CN"/>
        </w:rPr>
      </w:pPr>
      <w:r>
        <w:rPr>
          <w:rFonts w:hint="eastAsia" w:ascii="方正楷体简体" w:hAnsi="方正楷体简体" w:eastAsia="方正楷体简体" w:cs="方正楷体简体"/>
          <w:b w:val="0"/>
          <w:bCs w:val="0"/>
          <w:sz w:val="32"/>
          <w:szCs w:val="32"/>
          <w:lang w:val="en-US" w:eastAsia="zh-CN"/>
        </w:rPr>
        <w:br w:type="page"/>
      </w:r>
    </w:p>
    <w:p>
      <w:pPr>
        <w:ind w:firstLine="420" w:firstLineChars="200"/>
        <w:rPr>
          <w:rFonts w:hint="eastAsia" w:ascii="仿宋" w:hAnsi="仿宋" w:eastAsia="仿宋" w:cs="仿宋"/>
          <w:sz w:val="32"/>
          <w:szCs w:val="32"/>
          <w:lang w:val="en-US" w:eastAsia="zh-CN"/>
        </w:rPr>
      </w:pPr>
      <w:r>
        <w:drawing>
          <wp:anchor distT="0" distB="0" distL="114300" distR="114300" simplePos="0" relativeHeight="251673600" behindDoc="1" locked="0" layoutInCell="1" allowOverlap="1">
            <wp:simplePos x="0" y="0"/>
            <wp:positionH relativeFrom="column">
              <wp:posOffset>-164465</wp:posOffset>
            </wp:positionH>
            <wp:positionV relativeFrom="paragraph">
              <wp:posOffset>1264285</wp:posOffset>
            </wp:positionV>
            <wp:extent cx="2719705" cy="2332355"/>
            <wp:effectExtent l="9525" t="9525" r="0" b="0"/>
            <wp:wrapTight wrapText="bothSides">
              <wp:wrapPolygon>
                <wp:start x="-76" y="-88"/>
                <wp:lineTo x="-76" y="21435"/>
                <wp:lineTo x="21560" y="21435"/>
                <wp:lineTo x="21560" y="-88"/>
                <wp:lineTo x="-76" y="-88"/>
              </wp:wrapPolygon>
            </wp:wrapTight>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0"/>
                    <a:stretch>
                      <a:fillRect/>
                    </a:stretch>
                  </pic:blipFill>
                  <pic:spPr>
                    <a:xfrm>
                      <a:off x="0" y="0"/>
                      <a:ext cx="2719705" cy="2332355"/>
                    </a:xfrm>
                    <a:prstGeom prst="rect">
                      <a:avLst/>
                    </a:prstGeom>
                    <a:noFill/>
                    <a:ln>
                      <a:solidFill>
                        <a:srgbClr val="0000FF"/>
                      </a:solidFill>
                    </a:ln>
                  </pic:spPr>
                </pic:pic>
              </a:graphicData>
            </a:graphic>
          </wp:anchor>
        </w:drawing>
      </w:r>
      <w:r>
        <w:rPr>
          <w:rFonts w:hint="eastAsia" w:ascii="方正楷体简体" w:hAnsi="方正楷体简体" w:eastAsia="方正楷体简体" w:cs="方正楷体简体"/>
          <w:b w:val="0"/>
          <w:bCs w:val="0"/>
          <w:sz w:val="32"/>
          <w:szCs w:val="32"/>
          <w:lang w:val="en-US" w:eastAsia="zh-CN"/>
        </w:rPr>
        <w:t>５、全面完成政府公报数字版整理上线。</w:t>
      </w:r>
      <w:r>
        <w:rPr>
          <w:rFonts w:hint="eastAsia" w:ascii="仿宋" w:hAnsi="仿宋" w:eastAsia="仿宋" w:cs="仿宋"/>
          <w:sz w:val="32"/>
          <w:szCs w:val="32"/>
          <w:lang w:val="en-US" w:eastAsia="zh-CN"/>
        </w:rPr>
        <w:t>按照《国务院办公厅关于做好政府公报工作的通知》要求，在办好政府公报纸质版的基础上，加快政府公报电子化进程，推进政府公报数据库建设。市政府公报年内编辑出版15期，每期刊载市政府规章、市政府和市政府办公室印发的规范性文件及其他需要公开发布的文件、市政府工作部门印发的规范性文件、市政府人事任免事项等重要文件，向全市机关、企事业单位、村（居、社区）、图书馆、档案馆等赠阅，并在市、区县综合服务大厅设置免费取阅点。年内全面完成2003年创刊以来所有市政府公报的数字化，全部通过市政府网站公开。各区县政府公报数字版也均在各自政府门户网站公开。</w:t>
      </w:r>
    </w:p>
    <w:p>
      <w:p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82816" behindDoc="1" locked="0" layoutInCell="1" allowOverlap="1">
            <wp:simplePos x="0" y="0"/>
            <wp:positionH relativeFrom="column">
              <wp:posOffset>2409190</wp:posOffset>
            </wp:positionH>
            <wp:positionV relativeFrom="paragraph">
              <wp:posOffset>506730</wp:posOffset>
            </wp:positionV>
            <wp:extent cx="3111500" cy="2337435"/>
            <wp:effectExtent l="9525" t="9525" r="22225" b="15240"/>
            <wp:wrapTight wrapText="bothSides">
              <wp:wrapPolygon>
                <wp:start x="-66" y="-88"/>
                <wp:lineTo x="-66" y="21565"/>
                <wp:lineTo x="21490" y="21565"/>
                <wp:lineTo x="21490" y="-88"/>
                <wp:lineTo x="-66" y="-88"/>
              </wp:wrapPolygon>
            </wp:wrapTight>
            <wp:docPr id="17" name="图片 17" descr="62434563f7637f88db64b9f557278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2434563f7637f88db64b9f557278f9"/>
                    <pic:cNvPicPr>
                      <a:picLocks noChangeAspect="1"/>
                    </pic:cNvPicPr>
                  </pic:nvPicPr>
                  <pic:blipFill>
                    <a:blip r:embed="rId21"/>
                    <a:stretch>
                      <a:fillRect/>
                    </a:stretch>
                  </pic:blipFill>
                  <pic:spPr>
                    <a:xfrm>
                      <a:off x="0" y="0"/>
                      <a:ext cx="3111500" cy="2337435"/>
                    </a:xfrm>
                    <a:prstGeom prst="rect">
                      <a:avLst/>
                    </a:prstGeom>
                    <a:ln>
                      <a:solidFill>
                        <a:srgbClr val="0000FF"/>
                      </a:solidFill>
                    </a:ln>
                  </pic:spPr>
                </pic:pic>
              </a:graphicData>
            </a:graphic>
          </wp:anchor>
        </w:drawing>
      </w:r>
      <w:r>
        <w:rPr>
          <w:rFonts w:hint="eastAsia" w:ascii="方正楷体简体" w:hAnsi="方正楷体简体" w:eastAsia="方正楷体简体" w:cs="方正楷体简体"/>
          <w:b w:val="0"/>
          <w:bCs w:val="0"/>
          <w:sz w:val="32"/>
          <w:szCs w:val="32"/>
          <w:lang w:val="en-US" w:eastAsia="zh-CN"/>
        </w:rPr>
        <w:t>６、各级普遍设置公共查阅点和政务公开专区。</w:t>
      </w:r>
      <w:r>
        <w:rPr>
          <w:rFonts w:hint="eastAsia" w:ascii="仿宋" w:hAnsi="仿宋" w:eastAsia="仿宋" w:cs="仿宋"/>
          <w:sz w:val="32"/>
          <w:szCs w:val="32"/>
          <w:lang w:val="en-US" w:eastAsia="zh-CN"/>
        </w:rPr>
        <w:t>市政府、区县政府均在图书馆、档案馆设置了政府信息公共查阅点，在各级政务服务大厅、便民服务中心建设了政务公开专区，放置了文件资料，配备了电脑打印复印设备，提供线上线下服务，较好解决了信息公开“最后一公里”问题。</w:t>
      </w:r>
    </w:p>
    <w:p>
      <w:pPr>
        <w:numPr>
          <w:ilvl w:val="0"/>
          <w:numId w:val="1"/>
        </w:numPr>
        <w:ind w:firstLine="643" w:firstLineChars="200"/>
        <w:rPr>
          <w:rFonts w:hint="eastAsia" w:ascii="方正楷体简体" w:hAnsi="方正楷体简体" w:eastAsia="方正楷体简体" w:cs="方正楷体简体"/>
          <w:b/>
          <w:bCs/>
          <w:sz w:val="32"/>
          <w:szCs w:val="32"/>
        </w:rPr>
      </w:pPr>
      <w:r>
        <w:rPr>
          <w:rFonts w:hint="eastAsia" w:ascii="方正楷体简体" w:hAnsi="方正楷体简体" w:eastAsia="方正楷体简体" w:cs="方正楷体简体"/>
          <w:b/>
          <w:bCs/>
          <w:sz w:val="32"/>
          <w:szCs w:val="32"/>
          <w:lang w:eastAsia="zh-CN"/>
        </w:rPr>
        <w:t>监督保障方面</w:t>
      </w:r>
    </w:p>
    <w:p>
      <w:pPr>
        <w:numPr>
          <w:ilvl w:val="0"/>
          <w:numId w:val="2"/>
        </w:numPr>
        <w:ind w:firstLine="640" w:firstLineChars="200"/>
        <w:rPr>
          <w:rFonts w:hint="eastAsia" w:ascii="仿宋" w:hAnsi="仿宋" w:eastAsia="仿宋" w:cs="仿宋"/>
          <w:sz w:val="32"/>
          <w:szCs w:val="32"/>
        </w:rPr>
      </w:pPr>
      <w:r>
        <w:rPr>
          <w:rFonts w:hint="eastAsia" w:ascii="方正楷体简体" w:hAnsi="方正楷体简体" w:eastAsia="方正楷体简体" w:cs="方正楷体简体"/>
          <w:b w:val="0"/>
          <w:bCs w:val="0"/>
          <w:sz w:val="32"/>
          <w:szCs w:val="32"/>
        </w:rPr>
        <w:t>坚持顶层推动，放大公开格局。</w:t>
      </w:r>
      <w:r>
        <w:rPr>
          <w:rFonts w:hint="eastAsia" w:ascii="仿宋" w:hAnsi="仿宋" w:eastAsia="仿宋" w:cs="仿宋"/>
          <w:sz w:val="32"/>
          <w:szCs w:val="32"/>
          <w:lang w:eastAsia="zh-CN"/>
        </w:rPr>
        <w:t>我市在政务公开工作指导上努力推动实现“三个转变”，即：推动由少数专兼职人员抓政务公开向政府系统全体工作人员人人参与政务公开转变，推动由每年下半年甚至年底集中打突击向将政务公开嵌入政务运行全过程转变，推动由被动迎接考核向主动搞好政务公开转变，全市政务公开工作格局得到有效放大。</w:t>
      </w:r>
      <w:r>
        <w:rPr>
          <w:rFonts w:hint="eastAsia" w:ascii="仿宋" w:hAnsi="仿宋" w:eastAsia="仿宋" w:cs="仿宋"/>
          <w:sz w:val="32"/>
          <w:szCs w:val="32"/>
        </w:rPr>
        <w:t>主要体现在：</w:t>
      </w:r>
      <w:r>
        <w:rPr>
          <w:rFonts w:hint="eastAsia" w:ascii="方正楷体简体" w:hAnsi="方正楷体简体" w:eastAsia="方正楷体简体" w:cs="方正楷体简体"/>
          <w:sz w:val="32"/>
          <w:szCs w:val="32"/>
          <w:lang w:val="en-US" w:eastAsia="zh-CN"/>
        </w:rPr>
        <w:t>（1）</w:t>
      </w:r>
      <w:r>
        <w:rPr>
          <w:rFonts w:hint="eastAsia" w:ascii="方正楷体简体" w:hAnsi="方正楷体简体" w:eastAsia="方正楷体简体" w:cs="方正楷体简体"/>
          <w:sz w:val="32"/>
          <w:szCs w:val="32"/>
        </w:rPr>
        <w:t>市委市政府主要领导亲自推动政务公开工作。</w:t>
      </w:r>
      <w:r>
        <w:rPr>
          <w:rFonts w:hint="eastAsia" w:ascii="仿宋" w:hAnsi="仿宋" w:eastAsia="仿宋" w:cs="仿宋"/>
          <w:sz w:val="32"/>
          <w:szCs w:val="32"/>
        </w:rPr>
        <w:t>市委</w:t>
      </w:r>
      <w:r>
        <w:rPr>
          <w:rFonts w:hint="eastAsia" w:ascii="仿宋" w:hAnsi="仿宋" w:eastAsia="仿宋" w:cs="仿宋"/>
          <w:sz w:val="32"/>
          <w:szCs w:val="32"/>
          <w:lang w:eastAsia="zh-CN"/>
        </w:rPr>
        <w:t>主要领导同志</w:t>
      </w:r>
      <w:r>
        <w:rPr>
          <w:rFonts w:hint="eastAsia" w:ascii="仿宋" w:hAnsi="仿宋" w:eastAsia="仿宋" w:cs="仿宋"/>
          <w:sz w:val="32"/>
          <w:szCs w:val="32"/>
        </w:rPr>
        <w:t>多次过问政务公开工作，并就提升政务公开工作水平作出批示；</w:t>
      </w:r>
      <w:r>
        <w:rPr>
          <w:rFonts w:hint="eastAsia" w:ascii="仿宋" w:hAnsi="仿宋" w:eastAsia="仿宋" w:cs="仿宋"/>
          <w:sz w:val="32"/>
          <w:szCs w:val="32"/>
          <w:lang w:eastAsia="zh-CN"/>
        </w:rPr>
        <w:t>市政府主要领导同志年内</w:t>
      </w:r>
      <w:r>
        <w:rPr>
          <w:rFonts w:hint="eastAsia" w:ascii="仿宋" w:hAnsi="仿宋" w:eastAsia="仿宋" w:cs="仿宋"/>
          <w:sz w:val="32"/>
          <w:szCs w:val="32"/>
        </w:rPr>
        <w:t>到任后</w:t>
      </w:r>
      <w:r>
        <w:rPr>
          <w:rFonts w:hint="eastAsia" w:ascii="仿宋" w:hAnsi="仿宋" w:eastAsia="仿宋" w:cs="仿宋"/>
          <w:sz w:val="32"/>
          <w:szCs w:val="32"/>
          <w:lang w:eastAsia="zh-CN"/>
        </w:rPr>
        <w:t>在</w:t>
      </w:r>
      <w:r>
        <w:rPr>
          <w:rFonts w:hint="eastAsia" w:ascii="仿宋" w:hAnsi="仿宋" w:eastAsia="仿宋" w:cs="仿宋"/>
          <w:sz w:val="32"/>
          <w:szCs w:val="32"/>
        </w:rPr>
        <w:t>召开的第一次市政府党组（扩大）会上就对法治政府建设特别是政务公开工作作出强调，要求加大政务公开力度，确保权力在阳光下运行。</w:t>
      </w:r>
      <w:r>
        <w:rPr>
          <w:rFonts w:hint="eastAsia" w:ascii="方正楷体简体" w:hAnsi="方正楷体简体" w:eastAsia="方正楷体简体" w:cs="方正楷体简体"/>
          <w:sz w:val="32"/>
          <w:szCs w:val="32"/>
          <w:lang w:eastAsia="zh-CN"/>
        </w:rPr>
        <w:t>（２）</w:t>
      </w:r>
      <w:r>
        <w:rPr>
          <w:rFonts w:hint="eastAsia" w:ascii="方正楷体简体" w:hAnsi="方正楷体简体" w:eastAsia="方正楷体简体" w:cs="方正楷体简体"/>
          <w:sz w:val="32"/>
          <w:szCs w:val="32"/>
        </w:rPr>
        <w:t>市委市政府将政务公开工作提到前所未有的高度来抓。</w:t>
      </w:r>
      <w:r>
        <w:rPr>
          <w:rFonts w:hint="eastAsia" w:ascii="仿宋" w:hAnsi="仿宋" w:eastAsia="仿宋" w:cs="仿宋"/>
          <w:sz w:val="32"/>
          <w:szCs w:val="32"/>
        </w:rPr>
        <w:t>与法治政府建设、优化营商环境等统筹谋划、一体推进，并利用全市重点工作调度会、政府全体会、政府常务会以及各类专题会经常性强调督促，政务公开成为</w:t>
      </w:r>
      <w:r>
        <w:rPr>
          <w:rFonts w:hint="eastAsia" w:ascii="仿宋" w:hAnsi="仿宋" w:eastAsia="仿宋" w:cs="仿宋"/>
          <w:sz w:val="32"/>
          <w:szCs w:val="32"/>
          <w:lang w:eastAsia="zh-CN"/>
        </w:rPr>
        <w:t>年内</w:t>
      </w:r>
      <w:r>
        <w:rPr>
          <w:rFonts w:hint="eastAsia" w:ascii="仿宋" w:hAnsi="仿宋" w:eastAsia="仿宋" w:cs="仿宋"/>
          <w:sz w:val="32"/>
          <w:szCs w:val="32"/>
        </w:rPr>
        <w:t>党委、政府工作的高频词。</w:t>
      </w:r>
      <w:r>
        <w:rPr>
          <w:rFonts w:hint="eastAsia" w:ascii="方正楷体简体" w:hAnsi="方正楷体简体" w:eastAsia="方正楷体简体" w:cs="方正楷体简体"/>
          <w:sz w:val="32"/>
          <w:szCs w:val="32"/>
          <w:lang w:eastAsia="zh-CN"/>
        </w:rPr>
        <w:t>（３）各级各部门加强对政务公开工作的研究部署。</w:t>
      </w:r>
      <w:r>
        <w:rPr>
          <w:rFonts w:hint="eastAsia" w:ascii="仿宋" w:hAnsi="仿宋" w:eastAsia="仿宋" w:cs="仿宋"/>
          <w:sz w:val="32"/>
          <w:szCs w:val="32"/>
          <w:lang w:eastAsia="zh-CN"/>
        </w:rPr>
        <w:t>市政府要求各区县政府常务会、各部门局长办公会每年要至少集体研究一次政务公开工作，经９月份调度，各级各部门均对政务公开工作进行了专题研究部署，沂源县等由分管领导同志召开会议进行推进。</w:t>
      </w:r>
      <w:r>
        <w:rPr>
          <w:rFonts w:hint="eastAsia" w:ascii="方正楷体简体" w:hAnsi="方正楷体简体" w:eastAsia="方正楷体简体" w:cs="方正楷体简体"/>
          <w:sz w:val="32"/>
          <w:szCs w:val="32"/>
          <w:lang w:eastAsia="zh-CN"/>
        </w:rPr>
        <w:t>（４）</w:t>
      </w:r>
      <w:r>
        <w:rPr>
          <w:rFonts w:hint="eastAsia" w:ascii="方正楷体简体" w:hAnsi="方正楷体简体" w:eastAsia="方正楷体简体" w:cs="方正楷体简体"/>
          <w:sz w:val="32"/>
          <w:szCs w:val="32"/>
        </w:rPr>
        <w:t>市政府办公室</w:t>
      </w:r>
      <w:r>
        <w:rPr>
          <w:rFonts w:hint="eastAsia" w:ascii="方正楷体简体" w:hAnsi="方正楷体简体" w:eastAsia="方正楷体简体" w:cs="方正楷体简体"/>
          <w:sz w:val="32"/>
          <w:szCs w:val="32"/>
          <w:lang w:eastAsia="zh-CN"/>
        </w:rPr>
        <w:t>制定推进政务公开工作的系列措施</w:t>
      </w:r>
      <w:r>
        <w:rPr>
          <w:rFonts w:hint="eastAsia" w:ascii="方正楷体简体" w:hAnsi="方正楷体简体" w:eastAsia="方正楷体简体" w:cs="方正楷体简体"/>
          <w:sz w:val="32"/>
          <w:szCs w:val="32"/>
        </w:rPr>
        <w:t>。</w:t>
      </w:r>
      <w:r>
        <w:rPr>
          <w:rFonts w:hint="eastAsia" w:ascii="仿宋" w:hAnsi="仿宋" w:eastAsia="仿宋" w:cs="仿宋"/>
          <w:sz w:val="32"/>
          <w:szCs w:val="32"/>
          <w:lang w:eastAsia="zh-CN"/>
        </w:rPr>
        <w:t>作为全市政务公开主管部门，市政府办公室</w:t>
      </w:r>
      <w:r>
        <w:rPr>
          <w:rFonts w:hint="eastAsia" w:ascii="仿宋" w:hAnsi="仿宋" w:eastAsia="仿宋" w:cs="仿宋"/>
          <w:sz w:val="32"/>
          <w:szCs w:val="32"/>
        </w:rPr>
        <w:t>党组</w:t>
      </w:r>
      <w:r>
        <w:rPr>
          <w:rFonts w:hint="eastAsia" w:ascii="仿宋" w:hAnsi="仿宋" w:eastAsia="仿宋" w:cs="仿宋"/>
          <w:sz w:val="32"/>
          <w:szCs w:val="32"/>
          <w:lang w:eastAsia="zh-CN"/>
        </w:rPr>
        <w:t>多次</w:t>
      </w:r>
      <w:r>
        <w:rPr>
          <w:rFonts w:hint="eastAsia" w:ascii="仿宋" w:hAnsi="仿宋" w:eastAsia="仿宋" w:cs="仿宋"/>
          <w:sz w:val="32"/>
          <w:szCs w:val="32"/>
        </w:rPr>
        <w:t>专题研究</w:t>
      </w:r>
      <w:r>
        <w:rPr>
          <w:rFonts w:hint="eastAsia" w:ascii="仿宋" w:hAnsi="仿宋" w:eastAsia="仿宋" w:cs="仿宋"/>
          <w:sz w:val="32"/>
          <w:szCs w:val="32"/>
          <w:lang w:eastAsia="zh-CN"/>
        </w:rPr>
        <w:t>并</w:t>
      </w:r>
      <w:r>
        <w:rPr>
          <w:rFonts w:hint="eastAsia" w:ascii="仿宋" w:hAnsi="仿宋" w:eastAsia="仿宋" w:cs="仿宋"/>
          <w:sz w:val="32"/>
          <w:szCs w:val="32"/>
        </w:rPr>
        <w:t>制定了</w:t>
      </w:r>
      <w:r>
        <w:rPr>
          <w:rFonts w:hint="eastAsia" w:ascii="仿宋" w:hAnsi="仿宋" w:eastAsia="仿宋" w:cs="仿宋"/>
          <w:sz w:val="32"/>
          <w:szCs w:val="32"/>
          <w:lang w:eastAsia="zh-CN"/>
        </w:rPr>
        <w:t>包括外出考察、对标学习、目录梳理、平台建设、全员培训、监督考核等</w:t>
      </w:r>
      <w:r>
        <w:rPr>
          <w:rFonts w:hint="eastAsia" w:ascii="仿宋" w:hAnsi="仿宋" w:eastAsia="仿宋" w:cs="仿宋"/>
          <w:sz w:val="32"/>
          <w:szCs w:val="32"/>
        </w:rPr>
        <w:t>一</w:t>
      </w:r>
      <w:r>
        <w:rPr>
          <w:rFonts w:hint="eastAsia" w:ascii="仿宋" w:hAnsi="仿宋" w:eastAsia="仿宋" w:cs="仿宋"/>
          <w:sz w:val="32"/>
          <w:szCs w:val="32"/>
          <w:lang w:eastAsia="zh-CN"/>
        </w:rPr>
        <w:t>系列改进提升措施，办公室</w:t>
      </w:r>
      <w:r>
        <w:rPr>
          <w:rFonts w:hint="eastAsia" w:ascii="仿宋" w:hAnsi="仿宋" w:eastAsia="仿宋" w:cs="仿宋"/>
          <w:sz w:val="32"/>
          <w:szCs w:val="32"/>
        </w:rPr>
        <w:t>分管领导带队赴青岛、潍坊对标学习</w:t>
      </w:r>
      <w:r>
        <w:rPr>
          <w:rFonts w:hint="eastAsia" w:ascii="仿宋" w:hAnsi="仿宋" w:eastAsia="仿宋" w:cs="仿宋"/>
          <w:sz w:val="32"/>
          <w:szCs w:val="32"/>
          <w:lang w:eastAsia="zh-CN"/>
        </w:rPr>
        <w:t>，张店、临淄、桓台、沂源等区县均单独组织到外地考察学习</w:t>
      </w:r>
      <w:r>
        <w:rPr>
          <w:rFonts w:hint="eastAsia" w:ascii="仿宋" w:hAnsi="仿宋" w:eastAsia="仿宋" w:cs="仿宋"/>
          <w:sz w:val="32"/>
          <w:szCs w:val="32"/>
        </w:rPr>
        <w:t>。通过一年努力，各级、各部门对政务公开工作的认识明显提高，工作落实的主动性显著增强，政务公开工作呈现出良好发展态势。</w:t>
      </w:r>
    </w:p>
    <w:p>
      <w:pPr>
        <w:numPr>
          <w:ilvl w:val="0"/>
          <w:numId w:val="0"/>
        </w:numPr>
        <w:ind w:firstLine="640"/>
        <w:rPr>
          <w:rFonts w:hint="eastAsia" w:ascii="仿宋" w:hAnsi="仿宋" w:eastAsia="仿宋" w:cs="仿宋"/>
          <w:sz w:val="32"/>
          <w:lang w:eastAsia="zh-CN"/>
        </w:rPr>
      </w:pPr>
      <w:r>
        <w:rPr>
          <w:rFonts w:hint="eastAsia" w:ascii="方正楷体简体" w:hAnsi="方正楷体简体" w:eastAsia="方正楷体简体" w:cs="方正楷体简体"/>
          <w:b w:val="0"/>
          <w:bCs w:val="0"/>
          <w:sz w:val="32"/>
          <w:szCs w:val="32"/>
          <w:lang w:eastAsia="zh-CN"/>
        </w:rPr>
        <w:t>２、</w:t>
      </w:r>
      <w:r>
        <w:rPr>
          <w:rFonts w:hint="eastAsia" w:ascii="方正楷体简体" w:hAnsi="方正楷体简体" w:eastAsia="方正楷体简体" w:cs="方正楷体简体"/>
          <w:b w:val="0"/>
          <w:bCs w:val="0"/>
          <w:sz w:val="32"/>
          <w:szCs w:val="32"/>
        </w:rPr>
        <w:t>开展立体培训，强化公开意识。</w:t>
      </w: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sz w:val="32"/>
          <w:lang w:val="en-US" w:eastAsia="zh-CN"/>
        </w:rPr>
        <w:t>1）</w:t>
      </w:r>
      <w:r>
        <w:rPr>
          <w:rFonts w:hint="eastAsia" w:ascii="方正楷体简体" w:hAnsi="方正楷体简体" w:eastAsia="方正楷体简体" w:cs="方正楷体简体"/>
          <w:sz w:val="32"/>
          <w:lang w:eastAsia="zh-CN"/>
        </w:rPr>
        <w:t>将政务公开纳入领导干部学法重要内容。</w:t>
      </w:r>
      <w:r>
        <w:rPr>
          <w:rFonts w:hint="eastAsia" w:ascii="仿宋" w:hAnsi="仿宋" w:eastAsia="仿宋" w:cs="仿宋"/>
          <w:sz w:val="32"/>
          <w:lang w:val="en-US" w:eastAsia="zh-CN"/>
        </w:rPr>
        <w:t>8月份，</w:t>
      </w:r>
      <w:r>
        <w:rPr>
          <w:rFonts w:hint="eastAsia" w:ascii="仿宋" w:hAnsi="仿宋" w:eastAsia="仿宋" w:cs="仿宋"/>
          <w:sz w:val="32"/>
          <w:lang w:eastAsia="zh-CN"/>
        </w:rPr>
        <w:t>市</w:t>
      </w:r>
      <w:r>
        <w:rPr>
          <w:rFonts w:hint="eastAsia" w:ascii="仿宋" w:hAnsi="仿宋" w:eastAsia="仿宋" w:cs="仿宋"/>
          <w:sz w:val="32"/>
        </w:rPr>
        <w:t>政府</w:t>
      </w:r>
      <w:r>
        <w:rPr>
          <w:rFonts w:hint="eastAsia" w:ascii="仿宋" w:hAnsi="仿宋" w:eastAsia="仿宋" w:cs="仿宋"/>
          <w:sz w:val="32"/>
          <w:lang w:eastAsia="zh-CN"/>
        </w:rPr>
        <w:t>党组</w:t>
      </w:r>
      <w:r>
        <w:rPr>
          <w:rFonts w:hint="eastAsia" w:ascii="仿宋" w:hAnsi="仿宋" w:eastAsia="仿宋" w:cs="仿宋"/>
          <w:sz w:val="32"/>
        </w:rPr>
        <w:t>理论学习中心组</w:t>
      </w:r>
      <w:r>
        <w:rPr>
          <w:rFonts w:hint="eastAsia" w:ascii="仿宋" w:hAnsi="仿宋" w:eastAsia="仿宋" w:cs="仿宋"/>
          <w:sz w:val="32"/>
          <w:lang w:eastAsia="zh-CN"/>
        </w:rPr>
        <w:t>举办政务公开专题报告会，</w:t>
      </w:r>
      <w:r>
        <w:rPr>
          <w:rFonts w:hint="eastAsia" w:ascii="仿宋" w:hAnsi="仿宋" w:eastAsia="仿宋" w:cs="仿宋"/>
          <w:sz w:val="32"/>
        </w:rPr>
        <w:t>市、区县、镇办三级政府班子成员及</w:t>
      </w:r>
      <w:r>
        <w:rPr>
          <w:rFonts w:hint="eastAsia" w:ascii="仿宋" w:hAnsi="仿宋" w:eastAsia="仿宋" w:cs="仿宋"/>
          <w:sz w:val="32"/>
          <w:lang w:eastAsia="zh-CN"/>
        </w:rPr>
        <w:t>各级政府部门</w:t>
      </w:r>
      <w:r>
        <w:rPr>
          <w:rFonts w:hint="eastAsia" w:ascii="仿宋" w:hAnsi="仿宋" w:eastAsia="仿宋" w:cs="仿宋"/>
          <w:sz w:val="32"/>
        </w:rPr>
        <w:t>主要负责人</w:t>
      </w:r>
      <w:r>
        <w:rPr>
          <w:rFonts w:hint="eastAsia" w:ascii="仿宋" w:hAnsi="仿宋" w:eastAsia="仿宋" w:cs="仿宋"/>
          <w:sz w:val="32"/>
          <w:lang w:eastAsia="zh-CN"/>
        </w:rPr>
        <w:t>共</w:t>
      </w:r>
      <w:r>
        <w:drawing>
          <wp:anchor distT="0" distB="0" distL="114300" distR="114300" simplePos="0" relativeHeight="251674624" behindDoc="1" locked="0" layoutInCell="1" allowOverlap="1">
            <wp:simplePos x="0" y="0"/>
            <wp:positionH relativeFrom="column">
              <wp:posOffset>9525</wp:posOffset>
            </wp:positionH>
            <wp:positionV relativeFrom="paragraph">
              <wp:posOffset>1638300</wp:posOffset>
            </wp:positionV>
            <wp:extent cx="5272405" cy="2661920"/>
            <wp:effectExtent l="9525" t="9525" r="13970" b="14605"/>
            <wp:wrapTight wrapText="bothSides">
              <wp:wrapPolygon>
                <wp:start x="-39" y="-77"/>
                <wp:lineTo x="-39" y="21564"/>
                <wp:lineTo x="21579" y="21564"/>
                <wp:lineTo x="21579" y="-77"/>
                <wp:lineTo x="-39" y="-77"/>
              </wp:wrapPolygon>
            </wp:wrapTight>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22"/>
                    <a:stretch>
                      <a:fillRect/>
                    </a:stretch>
                  </pic:blipFill>
                  <pic:spPr>
                    <a:xfrm>
                      <a:off x="0" y="0"/>
                      <a:ext cx="5272405" cy="2661920"/>
                    </a:xfrm>
                    <a:prstGeom prst="rect">
                      <a:avLst/>
                    </a:prstGeom>
                    <a:noFill/>
                    <a:ln>
                      <a:solidFill>
                        <a:srgbClr val="0000FF"/>
                      </a:solidFill>
                    </a:ln>
                  </pic:spPr>
                </pic:pic>
              </a:graphicData>
            </a:graphic>
          </wp:anchor>
        </w:drawing>
      </w:r>
      <w:r>
        <w:rPr>
          <w:rFonts w:hint="eastAsia" w:ascii="仿宋" w:hAnsi="仿宋" w:eastAsia="仿宋" w:cs="仿宋"/>
          <w:sz w:val="32"/>
          <w:lang w:val="en-US" w:eastAsia="zh-CN"/>
        </w:rPr>
        <w:t>700余人参加培训，产生了很大反响，形成了重视抓好政务公开工作的浓厚氛围。</w:t>
      </w:r>
      <w:r>
        <w:rPr>
          <w:rFonts w:hint="eastAsia" w:ascii="方正楷体简体" w:hAnsi="方正楷体简体" w:eastAsia="方正楷体简体" w:cs="方正楷体简体"/>
          <w:sz w:val="32"/>
          <w:szCs w:val="32"/>
          <w:lang w:eastAsia="zh-CN"/>
        </w:rPr>
        <w:t>（２）</w:t>
      </w:r>
      <w:r>
        <w:rPr>
          <w:rFonts w:hint="eastAsia" w:ascii="方正楷体简体" w:hAnsi="方正楷体简体" w:eastAsia="方正楷体简体" w:cs="方正楷体简体"/>
          <w:sz w:val="32"/>
          <w:lang w:eastAsia="zh-CN"/>
        </w:rPr>
        <w:t>将政务公开纳入公务员培训内容。</w:t>
      </w:r>
      <w:r>
        <w:rPr>
          <w:rFonts w:hint="eastAsia" w:ascii="仿宋" w:hAnsi="仿宋" w:eastAsia="仿宋" w:cs="仿宋"/>
          <w:sz w:val="32"/>
        </w:rPr>
        <w:t>市委组织部</w:t>
      </w:r>
      <w:r>
        <w:rPr>
          <w:rFonts w:hint="eastAsia" w:ascii="仿宋" w:hAnsi="仿宋" w:eastAsia="仿宋" w:cs="仿宋"/>
          <w:sz w:val="32"/>
          <w:lang w:eastAsia="zh-CN"/>
        </w:rPr>
        <w:t>把</w:t>
      </w:r>
      <w:r>
        <w:rPr>
          <w:rFonts w:hint="eastAsia" w:ascii="仿宋" w:hAnsi="仿宋" w:eastAsia="仿宋" w:cs="仿宋"/>
          <w:sz w:val="32"/>
        </w:rPr>
        <w:t>政务公开纳入各级领导干部任职培训、公务员初任培训、公务员在职培训和专门业务培训计划</w:t>
      </w:r>
      <w:r>
        <w:rPr>
          <w:rFonts w:hint="eastAsia" w:ascii="仿宋" w:hAnsi="仿宋" w:eastAsia="仿宋" w:cs="仿宋"/>
          <w:sz w:val="32"/>
          <w:lang w:eastAsia="zh-CN"/>
        </w:rPr>
        <w:t>，年内全市公安系统初任公务员</w:t>
      </w:r>
      <w:r>
        <w:rPr>
          <w:rFonts w:hint="eastAsia" w:ascii="仿宋" w:hAnsi="仿宋" w:eastAsia="仿宋" w:cs="仿宋"/>
          <w:sz w:val="32"/>
          <w:lang w:val="en-US" w:eastAsia="zh-CN"/>
        </w:rPr>
        <w:t>11</w:t>
      </w:r>
      <w:r>
        <w:rPr>
          <w:rFonts w:hint="eastAsia" w:ascii="仿宋" w:hAnsi="仿宋" w:eastAsia="仿宋" w:cs="仿宋"/>
          <w:sz w:val="32"/>
          <w:lang w:eastAsia="zh-CN"/>
        </w:rPr>
        <w:t>月全部接受了政务公开政策法规培训</w:t>
      </w:r>
      <w:r>
        <w:rPr>
          <w:rFonts w:hint="eastAsia" w:ascii="仿宋" w:hAnsi="仿宋" w:eastAsia="仿宋" w:cs="仿宋"/>
          <w:sz w:val="32"/>
        </w:rPr>
        <w:t>。</w:t>
      </w:r>
      <w:r>
        <w:rPr>
          <w:rFonts w:hint="eastAsia" w:ascii="方正楷体简体" w:hAnsi="方正楷体简体" w:eastAsia="方正楷体简体" w:cs="方正楷体简体"/>
          <w:b w:val="0"/>
          <w:bCs w:val="0"/>
          <w:sz w:val="32"/>
          <w:szCs w:val="32"/>
          <w:lang w:eastAsia="zh-CN"/>
        </w:rPr>
        <w:t>（３）</w:t>
      </w:r>
      <w:r>
        <w:rPr>
          <w:rFonts w:hint="eastAsia" w:ascii="方正楷体简体" w:hAnsi="方正楷体简体" w:eastAsia="方正楷体简体" w:cs="方正楷体简体"/>
          <w:sz w:val="32"/>
          <w:lang w:eastAsia="zh-CN"/>
        </w:rPr>
        <w:t>加强政务公开系统业务培训。</w:t>
      </w:r>
      <w:r>
        <w:rPr>
          <w:rFonts w:hint="eastAsia" w:ascii="仿宋" w:hAnsi="仿宋" w:eastAsia="仿宋" w:cs="仿宋"/>
          <w:sz w:val="32"/>
          <w:lang w:eastAsia="zh-CN"/>
        </w:rPr>
        <w:t>政务公开业务培训常态化开展，</w:t>
      </w:r>
      <w:r>
        <w:rPr>
          <w:rFonts w:hint="eastAsia" w:ascii="仿宋" w:hAnsi="仿宋" w:eastAsia="仿宋" w:cs="仿宋"/>
          <w:sz w:val="32"/>
        </w:rPr>
        <w:t>年内</w:t>
      </w:r>
      <w:r>
        <w:rPr>
          <w:rFonts w:hint="eastAsia" w:ascii="仿宋" w:hAnsi="仿宋" w:eastAsia="仿宋" w:cs="仿宋"/>
          <w:sz w:val="32"/>
          <w:lang w:eastAsia="zh-CN"/>
        </w:rPr>
        <w:t>市级统一组织开展了</w:t>
      </w:r>
      <w:r>
        <w:rPr>
          <w:rFonts w:hint="eastAsia" w:ascii="仿宋" w:hAnsi="仿宋" w:eastAsia="仿宋" w:cs="仿宋"/>
          <w:sz w:val="32"/>
        </w:rPr>
        <w:t>政府信</w:t>
      </w:r>
      <w:r>
        <w:drawing>
          <wp:anchor distT="0" distB="0" distL="114300" distR="114300" simplePos="0" relativeHeight="251677696" behindDoc="1" locked="0" layoutInCell="1" allowOverlap="1">
            <wp:simplePos x="0" y="0"/>
            <wp:positionH relativeFrom="column">
              <wp:posOffset>0</wp:posOffset>
            </wp:positionH>
            <wp:positionV relativeFrom="paragraph">
              <wp:posOffset>1586865</wp:posOffset>
            </wp:positionV>
            <wp:extent cx="5272405" cy="2562225"/>
            <wp:effectExtent l="0" t="0" r="4445" b="9525"/>
            <wp:wrapTight wrapText="bothSides">
              <wp:wrapPolygon>
                <wp:start x="-39" y="-80"/>
                <wp:lineTo x="-39" y="21600"/>
                <wp:lineTo x="21579" y="21600"/>
                <wp:lineTo x="21579" y="-80"/>
                <wp:lineTo x="-39" y="-80"/>
              </wp:wrapPolygon>
            </wp:wrapTight>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23"/>
                    <a:stretch>
                      <a:fillRect/>
                    </a:stretch>
                  </pic:blipFill>
                  <pic:spPr>
                    <a:xfrm>
                      <a:off x="0" y="0"/>
                      <a:ext cx="5272405" cy="2562225"/>
                    </a:xfrm>
                    <a:prstGeom prst="rect">
                      <a:avLst/>
                    </a:prstGeom>
                    <a:noFill/>
                    <a:ln>
                      <a:solidFill>
                        <a:srgbClr val="0000FF"/>
                      </a:solidFill>
                    </a:ln>
                  </pic:spPr>
                </pic:pic>
              </a:graphicData>
            </a:graphic>
          </wp:anchor>
        </w:drawing>
      </w:r>
      <w:r>
        <w:rPr>
          <w:rFonts w:hint="eastAsia" w:ascii="仿宋" w:hAnsi="仿宋" w:eastAsia="仿宋" w:cs="仿宋"/>
          <w:sz w:val="32"/>
        </w:rPr>
        <w:t>息公开</w:t>
      </w:r>
      <w:r>
        <w:rPr>
          <w:rFonts w:hint="eastAsia" w:ascii="仿宋" w:hAnsi="仿宋" w:eastAsia="仿宋" w:cs="仿宋"/>
          <w:sz w:val="32"/>
          <w:lang w:eastAsia="zh-CN"/>
        </w:rPr>
        <w:t>标准页面</w:t>
      </w:r>
      <w:r>
        <w:rPr>
          <w:rFonts w:hint="eastAsia" w:ascii="仿宋" w:hAnsi="仿宋" w:eastAsia="仿宋" w:cs="仿宋"/>
          <w:sz w:val="32"/>
        </w:rPr>
        <w:t>建设</w:t>
      </w:r>
      <w:r>
        <w:rPr>
          <w:rFonts w:hint="eastAsia" w:ascii="仿宋" w:hAnsi="仿宋" w:eastAsia="仿宋" w:cs="仿宋"/>
          <w:sz w:val="32"/>
          <w:lang w:eastAsia="zh-CN"/>
        </w:rPr>
        <w:t>、</w:t>
      </w:r>
      <w:r>
        <w:rPr>
          <w:rFonts w:hint="eastAsia" w:ascii="仿宋" w:hAnsi="仿宋" w:eastAsia="仿宋" w:cs="仿宋"/>
          <w:sz w:val="32"/>
          <w:lang w:val="en-US" w:eastAsia="zh-CN"/>
        </w:rPr>
        <w:t>公开平台操作、依申请公开点评、年度考核暨工作推进等多次培训。</w:t>
      </w:r>
      <w:r>
        <w:rPr>
          <w:rFonts w:hint="eastAsia" w:ascii="仿宋" w:hAnsi="仿宋" w:eastAsia="仿宋" w:cs="仿宋"/>
          <w:sz w:val="32"/>
          <w:szCs w:val="32"/>
        </w:rPr>
        <w:t>针对疫情防控形式，我</w:t>
      </w:r>
      <w:r>
        <w:rPr>
          <w:rFonts w:hint="eastAsia" w:ascii="仿宋" w:hAnsi="仿宋" w:eastAsia="仿宋" w:cs="仿宋"/>
          <w:sz w:val="32"/>
          <w:szCs w:val="32"/>
          <w:lang w:eastAsia="zh-CN"/>
        </w:rPr>
        <w:t>市</w:t>
      </w:r>
      <w:r>
        <w:rPr>
          <w:rFonts w:hint="eastAsia" w:ascii="仿宋" w:hAnsi="仿宋" w:eastAsia="仿宋" w:cs="仿宋"/>
          <w:sz w:val="32"/>
          <w:szCs w:val="32"/>
        </w:rPr>
        <w:t>创新方法，多次通过腾讯会议系统</w:t>
      </w:r>
      <w:r>
        <w:rPr>
          <w:rFonts w:hint="eastAsia" w:ascii="仿宋" w:hAnsi="仿宋" w:eastAsia="仿宋" w:cs="仿宋"/>
          <w:sz w:val="32"/>
          <w:szCs w:val="32"/>
          <w:lang w:eastAsia="zh-CN"/>
        </w:rPr>
        <w:t>进行培训</w:t>
      </w:r>
      <w:r>
        <w:rPr>
          <w:rFonts w:hint="eastAsia" w:ascii="仿宋" w:hAnsi="仿宋" w:eastAsia="仿宋" w:cs="仿宋"/>
          <w:sz w:val="32"/>
          <w:szCs w:val="32"/>
        </w:rPr>
        <w:t>，</w:t>
      </w:r>
      <w:r>
        <w:rPr>
          <w:rFonts w:hint="eastAsia" w:ascii="仿宋" w:hAnsi="仿宋" w:eastAsia="仿宋" w:cs="仿宋"/>
          <w:sz w:val="32"/>
          <w:szCs w:val="32"/>
          <w:lang w:val="en-US" w:eastAsia="zh-CN"/>
        </w:rPr>
        <w:t>既</w:t>
      </w:r>
      <w:r>
        <w:rPr>
          <w:rFonts w:hint="eastAsia" w:ascii="仿宋" w:hAnsi="仿宋" w:eastAsia="仿宋" w:cs="仿宋"/>
          <w:sz w:val="32"/>
          <w:szCs w:val="32"/>
        </w:rPr>
        <w:t>节约了时间、场地成本，又方便地扩大了参会范围，</w:t>
      </w:r>
      <w:r>
        <w:rPr>
          <w:rFonts w:hint="eastAsia" w:ascii="仿宋" w:hAnsi="仿宋" w:eastAsia="仿宋" w:cs="仿宋"/>
          <w:sz w:val="32"/>
          <w:szCs w:val="32"/>
          <w:lang w:eastAsia="zh-CN"/>
        </w:rPr>
        <w:t>直接培训达到</w:t>
      </w:r>
      <w:r>
        <w:rPr>
          <w:rFonts w:hint="eastAsia" w:ascii="仿宋" w:hAnsi="仿宋" w:eastAsia="仿宋" w:cs="仿宋"/>
          <w:sz w:val="32"/>
          <w:szCs w:val="32"/>
          <w:lang w:val="en-US" w:eastAsia="zh-CN"/>
        </w:rPr>
        <w:t>1600</w:t>
      </w:r>
      <w:r>
        <w:rPr>
          <w:rFonts w:hint="eastAsia" w:ascii="仿宋" w:hAnsi="仿宋" w:eastAsia="仿宋" w:cs="仿宋"/>
          <w:sz w:val="32"/>
          <w:szCs w:val="32"/>
          <w:lang w:eastAsia="zh-CN"/>
        </w:rPr>
        <w:t>人次，</w:t>
      </w:r>
      <w:r>
        <w:rPr>
          <w:rFonts w:hint="eastAsia" w:ascii="仿宋" w:hAnsi="仿宋" w:eastAsia="仿宋" w:cs="仿宋"/>
          <w:sz w:val="32"/>
          <w:szCs w:val="32"/>
        </w:rPr>
        <w:t>取得很好</w:t>
      </w:r>
      <w:r>
        <w:rPr>
          <w:rFonts w:hint="eastAsia" w:ascii="仿宋" w:hAnsi="仿宋" w:eastAsia="仿宋" w:cs="仿宋"/>
          <w:sz w:val="32"/>
          <w:szCs w:val="32"/>
          <w:lang w:eastAsia="zh-CN"/>
        </w:rPr>
        <w:t>效果</w:t>
      </w:r>
      <w:r>
        <w:rPr>
          <w:rFonts w:hint="eastAsia" w:ascii="仿宋" w:hAnsi="仿宋" w:eastAsia="仿宋" w:cs="仿宋"/>
          <w:sz w:val="32"/>
          <w:szCs w:val="32"/>
        </w:rPr>
        <w:t>。</w:t>
      </w:r>
      <w:r>
        <w:rPr>
          <w:rFonts w:hint="eastAsia" w:ascii="仿宋" w:hAnsi="仿宋" w:eastAsia="仿宋" w:cs="仿宋"/>
          <w:sz w:val="32"/>
          <w:lang w:eastAsia="zh-CN"/>
        </w:rPr>
        <w:t>另外</w:t>
      </w:r>
    </w:p>
    <w:p>
      <w:pPr>
        <w:rPr>
          <w:rFonts w:hint="eastAsia" w:ascii="仿宋" w:hAnsi="仿宋" w:eastAsia="仿宋" w:cs="仿宋"/>
          <w:sz w:val="32"/>
          <w:lang w:eastAsia="zh-CN"/>
        </w:rPr>
      </w:pPr>
      <w:r>
        <w:drawing>
          <wp:anchor distT="0" distB="0" distL="114300" distR="114300" simplePos="0" relativeHeight="251683840" behindDoc="1" locked="0" layoutInCell="1" allowOverlap="1">
            <wp:simplePos x="0" y="0"/>
            <wp:positionH relativeFrom="column">
              <wp:posOffset>0</wp:posOffset>
            </wp:positionH>
            <wp:positionV relativeFrom="paragraph">
              <wp:posOffset>49530</wp:posOffset>
            </wp:positionV>
            <wp:extent cx="5265420" cy="2461895"/>
            <wp:effectExtent l="9525" t="9525" r="20955" b="24130"/>
            <wp:wrapTight wrapText="bothSides">
              <wp:wrapPolygon>
                <wp:start x="-39" y="-84"/>
                <wp:lineTo x="-39" y="21477"/>
                <wp:lineTo x="21530" y="21477"/>
                <wp:lineTo x="21530" y="-84"/>
                <wp:lineTo x="-39" y="-84"/>
              </wp:wrapPolygon>
            </wp:wrapTight>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4"/>
                    <a:stretch>
                      <a:fillRect/>
                    </a:stretch>
                  </pic:blipFill>
                  <pic:spPr>
                    <a:xfrm>
                      <a:off x="0" y="0"/>
                      <a:ext cx="5265420" cy="2461895"/>
                    </a:xfrm>
                    <a:prstGeom prst="rect">
                      <a:avLst/>
                    </a:prstGeom>
                    <a:noFill/>
                    <a:ln>
                      <a:solidFill>
                        <a:srgbClr val="0000FF"/>
                      </a:solidFill>
                    </a:ln>
                  </pic:spPr>
                </pic:pic>
              </a:graphicData>
            </a:graphic>
          </wp:anchor>
        </w:drawing>
      </w:r>
      <w:r>
        <w:rPr>
          <w:rFonts w:hint="eastAsia" w:ascii="仿宋" w:hAnsi="仿宋" w:eastAsia="仿宋" w:cs="仿宋"/>
          <w:sz w:val="32"/>
          <w:lang w:eastAsia="zh-CN"/>
        </w:rPr>
        <w:br w:type="page"/>
      </w:r>
    </w:p>
    <w:p>
      <w:pPr>
        <w:rPr>
          <w:rFonts w:hint="default" w:ascii="仿宋" w:hAnsi="仿宋" w:eastAsia="仿宋" w:cs="仿宋"/>
          <w:sz w:val="32"/>
          <w:lang w:val="en-US" w:eastAsia="zh-CN"/>
        </w:rPr>
      </w:pPr>
      <w:r>
        <w:rPr>
          <w:rFonts w:hint="eastAsia" w:ascii="仿宋" w:hAnsi="仿宋" w:eastAsia="仿宋" w:cs="仿宋"/>
          <w:sz w:val="32"/>
          <w:lang w:eastAsia="zh-CN"/>
        </w:rPr>
        <w:t>市政府办公室还对</w:t>
      </w:r>
      <w:r>
        <w:rPr>
          <w:rFonts w:hint="eastAsia" w:ascii="仿宋" w:hAnsi="仿宋" w:eastAsia="仿宋" w:cs="仿宋"/>
          <w:sz w:val="32"/>
          <w:lang w:val="en-US" w:eastAsia="zh-CN"/>
        </w:rPr>
        <w:t>人社、公安、审计、交通运输、信访等重点部门单位进行了业务培训</w:t>
      </w:r>
      <w:r>
        <w:rPr>
          <w:rFonts w:hint="eastAsia" w:ascii="仿宋" w:hAnsi="仿宋" w:eastAsia="仿宋" w:cs="仿宋"/>
          <w:sz w:val="32"/>
        </w:rPr>
        <w:t>。</w:t>
      </w:r>
      <w:r>
        <w:rPr>
          <w:rFonts w:hint="eastAsia" w:ascii="仿宋" w:hAnsi="仿宋" w:eastAsia="仿宋" w:cs="仿宋"/>
          <w:sz w:val="32"/>
          <w:lang w:val="en-US" w:eastAsia="zh-CN"/>
        </w:rPr>
        <w:t>全市统一的政府信息公开平台升级改造期间，博山区每周集中培训一次，张店、淄川、周村、临淄、桓台、高青、沂源采取阶段性集中办公、集中培训，保证了栏目设置、数据迁移等工作的整体进度。</w:t>
      </w:r>
    </w:p>
    <w:p>
      <w:pPr>
        <w:ind w:firstLine="420" w:firstLineChars="200"/>
        <w:rPr>
          <w:rFonts w:hint="eastAsia" w:ascii="Times New Roman" w:hAnsi="Times New Roman" w:eastAsia="仿宋_GB2312" w:cs="Times New Roman"/>
          <w:sz w:val="32"/>
          <w:szCs w:val="32"/>
          <w:lang w:val="en-US" w:eastAsia="zh-CN"/>
        </w:rPr>
      </w:pPr>
      <w:r>
        <w:drawing>
          <wp:anchor distT="0" distB="0" distL="114300" distR="114300" simplePos="0" relativeHeight="251676672" behindDoc="1" locked="0" layoutInCell="1" allowOverlap="1">
            <wp:simplePos x="0" y="0"/>
            <wp:positionH relativeFrom="column">
              <wp:posOffset>9525</wp:posOffset>
            </wp:positionH>
            <wp:positionV relativeFrom="paragraph">
              <wp:posOffset>2425700</wp:posOffset>
            </wp:positionV>
            <wp:extent cx="5271770" cy="2861945"/>
            <wp:effectExtent l="9525" t="9525" r="14605" b="24130"/>
            <wp:wrapTight wrapText="bothSides">
              <wp:wrapPolygon>
                <wp:start x="-39" y="-72"/>
                <wp:lineTo x="-39" y="21495"/>
                <wp:lineTo x="21582" y="21495"/>
                <wp:lineTo x="21582" y="-72"/>
                <wp:lineTo x="-39" y="-72"/>
              </wp:wrapPolygon>
            </wp:wrapTight>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25"/>
                    <a:stretch>
                      <a:fillRect/>
                    </a:stretch>
                  </pic:blipFill>
                  <pic:spPr>
                    <a:xfrm>
                      <a:off x="0" y="0"/>
                      <a:ext cx="5271770" cy="2861945"/>
                    </a:xfrm>
                    <a:prstGeom prst="rect">
                      <a:avLst/>
                    </a:prstGeom>
                    <a:noFill/>
                    <a:ln>
                      <a:solidFill>
                        <a:srgbClr val="0000FF"/>
                      </a:solidFill>
                    </a:ln>
                  </pic:spPr>
                </pic:pic>
              </a:graphicData>
            </a:graphic>
          </wp:anchor>
        </w:drawing>
      </w:r>
      <w:r>
        <w:rPr>
          <w:rFonts w:hint="eastAsia" w:ascii="方正楷体简体" w:hAnsi="方正楷体简体" w:eastAsia="方正楷体简体" w:cs="方正楷体简体"/>
          <w:b w:val="0"/>
          <w:bCs w:val="0"/>
          <w:sz w:val="32"/>
          <w:szCs w:val="32"/>
          <w:lang w:eastAsia="zh-CN"/>
        </w:rPr>
        <w:t>３、多项措施并举，夯实工作基础。（</w:t>
      </w:r>
      <w:r>
        <w:rPr>
          <w:rFonts w:hint="eastAsia" w:ascii="Times New Roman" w:hAnsi="Times New Roman" w:eastAsia="仿宋_GB2312" w:cs="Times New Roman"/>
          <w:sz w:val="32"/>
          <w:szCs w:val="32"/>
          <w:lang w:val="en-US" w:eastAsia="zh-CN"/>
        </w:rPr>
        <w:t>1）加强组织领导，调整市政务公开领导小组，制定《淄博市政务公开领导小组工作规则》《淄博市政务公开领导小组办公室工作细则》；加强领导力量，明确2名市政府办公室党组成员分管；增强工作力量，为市工作机构增加人员。（2）加强工作推动，</w:t>
      </w:r>
      <w:r>
        <w:rPr>
          <w:rFonts w:hint="default" w:ascii="Times New Roman" w:hAnsi="Times New Roman" w:eastAsia="仿宋_GB2312" w:cs="Times New Roman"/>
          <w:sz w:val="32"/>
          <w:szCs w:val="32"/>
          <w:lang w:val="en-US" w:eastAsia="zh-CN"/>
        </w:rPr>
        <w:t>制定《2020年度淄博市政务公开工作要点》，细化分解责任，形成任务清单。</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val="en-US" w:eastAsia="zh-CN"/>
        </w:rPr>
        <w:t>大力</w:t>
      </w:r>
      <w:r>
        <w:rPr>
          <w:rFonts w:hint="eastAsia" w:ascii="Times New Roman" w:hAnsi="Times New Roman" w:eastAsia="仿宋_GB2312" w:cs="Times New Roman"/>
          <w:sz w:val="32"/>
          <w:szCs w:val="32"/>
          <w:lang w:val="en-US" w:eastAsia="zh-CN"/>
        </w:rPr>
        <w:t>推进</w:t>
      </w:r>
      <w:r>
        <w:rPr>
          <w:rFonts w:hint="default" w:ascii="Times New Roman" w:hAnsi="Times New Roman" w:eastAsia="仿宋_GB2312" w:cs="Times New Roman"/>
          <w:sz w:val="32"/>
          <w:szCs w:val="32"/>
          <w:lang w:val="en-US" w:eastAsia="zh-CN"/>
        </w:rPr>
        <w:t>标准化规范化建设</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制定《淄博市全面推进基层政务公开标准化规范化工作实施方案》，确定25个市政府部门作为指导单位，每个区县各确定2个镇办、2个部门作为市级示范点重点建设</w:t>
      </w:r>
      <w:r>
        <w:rPr>
          <w:rFonts w:hint="eastAsia" w:ascii="Times New Roman" w:hAnsi="Times New Roman" w:eastAsia="仿宋_GB2312" w:cs="Times New Roman"/>
          <w:sz w:val="32"/>
          <w:szCs w:val="32"/>
          <w:lang w:val="en-US" w:eastAsia="zh-CN"/>
        </w:rPr>
        <w:t>。同时要求市级政府部门单位按照基层“两化”方案提升公开标准化规范化水平。</w:t>
      </w:r>
    </w:p>
    <w:p>
      <w:pPr>
        <w:ind w:firstLine="420" w:firstLineChars="200"/>
        <w:rPr>
          <w:rFonts w:hint="eastAsia" w:ascii="仿宋" w:hAnsi="仿宋" w:eastAsia="仿宋" w:cs="仿宋"/>
          <w:sz w:val="32"/>
          <w:szCs w:val="32"/>
        </w:rPr>
      </w:pPr>
      <w:r>
        <w:drawing>
          <wp:anchor distT="0" distB="0" distL="114300" distR="114300" simplePos="0" relativeHeight="251678720" behindDoc="1" locked="0" layoutInCell="1" allowOverlap="1">
            <wp:simplePos x="0" y="0"/>
            <wp:positionH relativeFrom="column">
              <wp:posOffset>-64770</wp:posOffset>
            </wp:positionH>
            <wp:positionV relativeFrom="paragraph">
              <wp:posOffset>883920</wp:posOffset>
            </wp:positionV>
            <wp:extent cx="3457575" cy="5534025"/>
            <wp:effectExtent l="9525" t="9525" r="19050" b="19050"/>
            <wp:wrapTight wrapText="bothSides">
              <wp:wrapPolygon>
                <wp:start x="-60" y="-37"/>
                <wp:lineTo x="-60" y="21600"/>
                <wp:lineTo x="21600" y="21600"/>
                <wp:lineTo x="21600" y="-37"/>
                <wp:lineTo x="-60" y="-37"/>
              </wp:wrapPolygon>
            </wp:wrapTight>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26"/>
                    <a:stretch>
                      <a:fillRect/>
                    </a:stretch>
                  </pic:blipFill>
                  <pic:spPr>
                    <a:xfrm>
                      <a:off x="0" y="0"/>
                      <a:ext cx="3457575" cy="5534025"/>
                    </a:xfrm>
                    <a:prstGeom prst="rect">
                      <a:avLst/>
                    </a:prstGeom>
                    <a:noFill/>
                    <a:ln>
                      <a:solidFill>
                        <a:srgbClr val="0000FF"/>
                      </a:solidFill>
                    </a:ln>
                  </pic:spPr>
                </pic:pic>
              </a:graphicData>
            </a:graphic>
          </wp:anchor>
        </w:drawing>
      </w:r>
      <w:r>
        <w:rPr>
          <w:rFonts w:hint="eastAsia" w:ascii="方正楷体简体" w:hAnsi="方正楷体简体" w:eastAsia="方正楷体简体" w:cs="方正楷体简体"/>
          <w:b w:val="0"/>
          <w:bCs w:val="0"/>
          <w:sz w:val="32"/>
          <w:szCs w:val="32"/>
          <w:lang w:val="en-US" w:eastAsia="zh-CN"/>
        </w:rPr>
        <w:t>4、</w:t>
      </w:r>
      <w:r>
        <w:rPr>
          <w:rFonts w:hint="eastAsia" w:ascii="方正楷体简体" w:hAnsi="方正楷体简体" w:eastAsia="方正楷体简体" w:cs="方正楷体简体"/>
          <w:b w:val="0"/>
          <w:bCs w:val="0"/>
          <w:sz w:val="32"/>
          <w:szCs w:val="32"/>
        </w:rPr>
        <w:t>强化监督考核，推动任务落实。</w:t>
      </w: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sz w:val="32"/>
          <w:szCs w:val="32"/>
          <w:lang w:val="en-US" w:eastAsia="zh-CN"/>
        </w:rPr>
        <w:t>1）</w:t>
      </w:r>
      <w:r>
        <w:rPr>
          <w:rFonts w:hint="eastAsia" w:ascii="方正楷体简体" w:hAnsi="方正楷体简体" w:eastAsia="方正楷体简体" w:cs="方正楷体简体"/>
          <w:sz w:val="32"/>
          <w:szCs w:val="32"/>
        </w:rPr>
        <w:t>建立政务公开日常检查月度通报制度</w:t>
      </w:r>
      <w:r>
        <w:rPr>
          <w:rFonts w:hint="eastAsia" w:ascii="方正楷体简体" w:hAnsi="方正楷体简体" w:eastAsia="方正楷体简体" w:cs="方正楷体简体"/>
          <w:sz w:val="32"/>
          <w:szCs w:val="32"/>
          <w:lang w:eastAsia="zh-CN"/>
        </w:rPr>
        <w:t>。</w:t>
      </w:r>
      <w:r>
        <w:rPr>
          <w:rFonts w:hint="eastAsia" w:ascii="仿宋" w:hAnsi="仿宋" w:eastAsia="仿宋" w:cs="仿宋"/>
          <w:sz w:val="32"/>
          <w:szCs w:val="32"/>
          <w:lang w:eastAsia="zh-CN"/>
        </w:rPr>
        <w:t>市政府办公室</w:t>
      </w:r>
      <w:r>
        <w:rPr>
          <w:rFonts w:hint="eastAsia" w:ascii="仿宋" w:hAnsi="仿宋" w:eastAsia="仿宋" w:cs="仿宋"/>
          <w:sz w:val="32"/>
          <w:szCs w:val="32"/>
        </w:rPr>
        <w:t>加强日常检查，每月一次指名道姓通报各区县、各部门单位政务公开工作情况，重点指出存在的问题短板，并及时督促整改。</w:t>
      </w:r>
      <w:r>
        <w:rPr>
          <w:rFonts w:hint="eastAsia" w:ascii="方正楷体简体" w:hAnsi="方正楷体简体" w:eastAsia="方正楷体简体" w:cs="方正楷体简体"/>
          <w:sz w:val="32"/>
          <w:szCs w:val="32"/>
          <w:lang w:eastAsia="zh-CN"/>
        </w:rPr>
        <w:t>（</w:t>
      </w:r>
      <w:r>
        <w:rPr>
          <w:rFonts w:hint="eastAsia" w:ascii="方正楷体简体" w:hAnsi="方正楷体简体" w:eastAsia="方正楷体简体" w:cs="方正楷体简体"/>
          <w:sz w:val="32"/>
          <w:szCs w:val="32"/>
          <w:lang w:val="en-US" w:eastAsia="zh-CN"/>
        </w:rPr>
        <w:t>2）组</w:t>
      </w:r>
      <w:r>
        <w:rPr>
          <w:rFonts w:hint="eastAsia" w:ascii="方正楷体简体" w:hAnsi="方正楷体简体" w:eastAsia="方正楷体简体" w:cs="方正楷体简体"/>
          <w:sz w:val="32"/>
          <w:szCs w:val="32"/>
        </w:rPr>
        <w:t>织开展第三方评估。</w:t>
      </w:r>
      <w:r>
        <w:rPr>
          <w:rFonts w:hint="eastAsia" w:ascii="仿宋" w:hAnsi="仿宋" w:eastAsia="仿宋" w:cs="仿宋"/>
          <w:sz w:val="32"/>
          <w:szCs w:val="32"/>
        </w:rPr>
        <w:t>通过政府购买服务，委托第三方机构编制评估指标、组织评估培训、实施评估并反馈问题清单。</w:t>
      </w:r>
      <w:r>
        <w:rPr>
          <w:rFonts w:hint="eastAsia" w:ascii="方正楷体简体" w:hAnsi="方正楷体简体" w:eastAsia="方正楷体简体" w:cs="方正楷体简体"/>
          <w:sz w:val="32"/>
          <w:szCs w:val="32"/>
          <w:lang w:val="en-US" w:eastAsia="zh-CN"/>
        </w:rPr>
        <w:t>（3）组织实施年度考核</w:t>
      </w:r>
      <w:r>
        <w:rPr>
          <w:rFonts w:hint="eastAsia" w:ascii="方正楷体简体" w:hAnsi="方正楷体简体" w:eastAsia="方正楷体简体" w:cs="方正楷体简体"/>
          <w:sz w:val="32"/>
          <w:szCs w:val="32"/>
        </w:rPr>
        <w:t>。</w:t>
      </w:r>
      <w:r>
        <w:rPr>
          <w:rFonts w:hint="eastAsia" w:ascii="仿宋" w:hAnsi="仿宋" w:eastAsia="仿宋" w:cs="仿宋"/>
          <w:sz w:val="32"/>
          <w:szCs w:val="32"/>
        </w:rPr>
        <w:t>推动市考核办将政务公开列入对市政府部门单位的年度绩效考核指标，占比基本达到4%。</w:t>
      </w:r>
    </w:p>
    <w:p>
      <w:pPr>
        <w:ind w:firstLine="640" w:firstLineChars="200"/>
        <w:rPr>
          <w:rFonts w:hint="eastAsia" w:ascii="仿宋" w:hAnsi="仿宋" w:eastAsia="仿宋" w:cs="仿宋"/>
          <w:sz w:val="32"/>
          <w:szCs w:val="32"/>
        </w:rPr>
      </w:pPr>
      <w:r>
        <w:rPr>
          <w:rFonts w:hint="eastAsia" w:ascii="方正楷体简体" w:hAnsi="方正楷体简体" w:eastAsia="方正楷体简体" w:cs="方正楷体简体"/>
          <w:b w:val="0"/>
          <w:bCs w:val="0"/>
          <w:sz w:val="32"/>
          <w:szCs w:val="32"/>
          <w:lang w:val="en-US" w:eastAsia="zh-CN"/>
        </w:rPr>
        <w:t>5、</w:t>
      </w:r>
      <w:r>
        <w:rPr>
          <w:rFonts w:hint="eastAsia" w:ascii="方正楷体简体" w:hAnsi="方正楷体简体" w:eastAsia="方正楷体简体" w:cs="方正楷体简体"/>
          <w:b w:val="0"/>
          <w:bCs w:val="0"/>
          <w:sz w:val="32"/>
          <w:szCs w:val="32"/>
        </w:rPr>
        <w:t>建立交流平台，浓化工作氛围。</w:t>
      </w:r>
      <w:r>
        <w:rPr>
          <w:rFonts w:hint="eastAsia" w:ascii="仿宋" w:hAnsi="仿宋" w:eastAsia="仿宋" w:cs="仿宋"/>
          <w:sz w:val="32"/>
          <w:szCs w:val="32"/>
        </w:rPr>
        <w:t>为使各级、各部门相互借鉴政务公开工作经验，形成比学赶超的竞争格局，在市政府网站开设了“政务公开在行动”专栏，及时发布各级各部门工作措施、成果成效、经验做法和典型案例，公开通报存在的问题。</w:t>
      </w:r>
      <w:r>
        <w:rPr>
          <w:rFonts w:hint="eastAsia" w:ascii="仿宋" w:hAnsi="仿宋" w:eastAsia="仿宋" w:cs="仿宋"/>
          <w:sz w:val="32"/>
          <w:szCs w:val="32"/>
          <w:lang w:eastAsia="zh-CN"/>
        </w:rPr>
        <w:t>年内</w:t>
      </w:r>
      <w:r>
        <w:rPr>
          <w:rFonts w:hint="eastAsia" w:ascii="仿宋" w:hAnsi="仿宋" w:eastAsia="仿宋" w:cs="仿宋"/>
          <w:sz w:val="32"/>
          <w:szCs w:val="32"/>
        </w:rPr>
        <w:t>通过该平台发布各类文章1</w:t>
      </w:r>
      <w:r>
        <w:rPr>
          <w:rFonts w:hint="eastAsia" w:ascii="仿宋" w:hAnsi="仿宋" w:eastAsia="仿宋" w:cs="仿宋"/>
          <w:sz w:val="32"/>
          <w:szCs w:val="32"/>
          <w:lang w:val="en-US" w:eastAsia="zh-CN"/>
        </w:rPr>
        <w:t>6</w:t>
      </w:r>
      <w:r>
        <w:rPr>
          <w:rFonts w:hint="eastAsia" w:ascii="仿宋" w:hAnsi="仿宋" w:eastAsia="仿宋" w:cs="仿宋"/>
          <w:sz w:val="32"/>
          <w:szCs w:val="32"/>
        </w:rPr>
        <w:t>00余篇，有效强化了全市的政务公开工作氛围。同时，积极向省“政务公开看山东”微信公众号、国办《政务公开工</w:t>
      </w:r>
      <w:r>
        <w:rPr>
          <w:rFonts w:hint="eastAsia" w:ascii="仿宋" w:hAnsi="仿宋" w:eastAsia="仿宋" w:cs="仿宋"/>
          <w:sz w:val="32"/>
          <w:szCs w:val="32"/>
          <w:lang w:val="en-US" w:eastAsia="zh-CN"/>
        </w:rPr>
        <w:t>作</w:t>
      </w:r>
      <w:r>
        <w:rPr>
          <w:rFonts w:hint="eastAsia" w:ascii="仿宋" w:hAnsi="仿宋" w:eastAsia="仿宋" w:cs="仿宋"/>
          <w:sz w:val="32"/>
          <w:szCs w:val="32"/>
        </w:rPr>
        <w:t>交流》电子杂志报送反映我市工作情况的稿件，</w:t>
      </w:r>
      <w:r>
        <w:rPr>
          <w:rFonts w:hint="eastAsia" w:ascii="仿宋" w:hAnsi="仿宋" w:eastAsia="仿宋" w:cs="仿宋"/>
          <w:sz w:val="32"/>
          <w:szCs w:val="32"/>
          <w:lang w:eastAsia="zh-CN"/>
        </w:rPr>
        <w:t>采用数量</w:t>
      </w:r>
      <w:r>
        <w:rPr>
          <w:rFonts w:hint="eastAsia" w:ascii="仿宋" w:hAnsi="仿宋" w:eastAsia="仿宋" w:cs="仿宋"/>
          <w:sz w:val="32"/>
          <w:szCs w:val="32"/>
        </w:rPr>
        <w:t>比往年有了明显提升。</w:t>
      </w:r>
    </w:p>
    <w:p>
      <w:pPr>
        <w:ind w:firstLine="643" w:firstLineChars="200"/>
        <w:rPr>
          <w:rFonts w:hint="eastAsia"/>
          <w:lang w:val="en-US" w:eastAsia="zh-CN"/>
        </w:rPr>
      </w:pPr>
      <w:r>
        <w:rPr>
          <w:rFonts w:hint="eastAsia" w:asciiTheme="majorEastAsia" w:hAnsiTheme="majorEastAsia" w:eastAsiaTheme="majorEastAsia" w:cstheme="majorEastAsia"/>
          <w:b/>
          <w:bCs/>
          <w:sz w:val="32"/>
          <w:lang w:val="en-US" w:eastAsia="zh-CN"/>
        </w:rPr>
        <w:t xml:space="preserve">二、主动公开政府信息情况  </w:t>
      </w:r>
      <w:r>
        <w:rPr>
          <w:rFonts w:hint="eastAsia"/>
          <w:lang w:val="en-US" w:eastAsia="zh-CN"/>
        </w:rPr>
        <w:t xml:space="preserve">  </w:t>
      </w:r>
    </w:p>
    <w:tbl>
      <w:tblPr>
        <w:tblStyle w:val="5"/>
        <w:tblW w:w="82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508"/>
        <w:gridCol w:w="2503"/>
        <w:gridCol w:w="1489"/>
        <w:gridCol w:w="17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5" w:hRule="atLeast"/>
        </w:trPr>
        <w:tc>
          <w:tcPr>
            <w:tcW w:w="8280" w:type="dxa"/>
            <w:gridSpan w:val="4"/>
            <w:tcBorders>
              <w:top w:val="single" w:color="4F81BD" w:sz="8" w:space="0"/>
              <w:left w:val="single" w:color="4F81BD" w:sz="8" w:space="0"/>
              <w:bottom w:val="single" w:color="FFFFFF" w:sz="4" w:space="0"/>
              <w:right w:val="single" w:color="4F81BD" w:sz="8" w:space="0"/>
            </w:tcBorders>
            <w:shd w:val="clear" w:color="auto" w:fill="4F81BD"/>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第二十条第（一）项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8" w:hRule="atLeast"/>
        </w:trPr>
        <w:tc>
          <w:tcPr>
            <w:tcW w:w="2508" w:type="dxa"/>
            <w:tcBorders>
              <w:top w:val="single" w:color="FFFFFF" w:sz="4"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信息内容</w:t>
            </w:r>
          </w:p>
        </w:tc>
        <w:tc>
          <w:tcPr>
            <w:tcW w:w="2503" w:type="dxa"/>
            <w:tcBorders>
              <w:top w:val="single" w:color="FFFFFF" w:sz="4"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本年新制作数量</w:t>
            </w:r>
          </w:p>
        </w:tc>
        <w:tc>
          <w:tcPr>
            <w:tcW w:w="1489" w:type="dxa"/>
            <w:tcBorders>
              <w:top w:val="single" w:color="FFFFFF" w:sz="4"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CN" w:bidi="ar"/>
              </w:rPr>
              <w:t>本年新</w:t>
            </w:r>
          </w:p>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公开数量</w:t>
            </w:r>
          </w:p>
        </w:tc>
        <w:tc>
          <w:tcPr>
            <w:tcW w:w="1780" w:type="dxa"/>
            <w:tcBorders>
              <w:top w:val="single" w:color="FFFFFF" w:sz="4"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CN" w:bidi="ar"/>
              </w:rPr>
              <w:t>对外公开</w:t>
            </w:r>
          </w:p>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总数量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0" w:hRule="atLeast"/>
        </w:trPr>
        <w:tc>
          <w:tcPr>
            <w:tcW w:w="250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规章</w:t>
            </w:r>
          </w:p>
        </w:tc>
        <w:tc>
          <w:tcPr>
            <w:tcW w:w="2503"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spacing w:beforeLines="0" w:afterLines="0"/>
              <w:jc w:val="center"/>
              <w:rPr>
                <w:rFonts w:hint="eastAsia" w:ascii="宋体" w:hAnsi="宋体" w:eastAsiaTheme="minorEastAsia" w:cstheme="minorBidi"/>
                <w:color w:val="000000"/>
                <w:kern w:val="2"/>
                <w:sz w:val="22"/>
                <w:szCs w:val="24"/>
                <w:lang w:val="en-US" w:eastAsia="zh-CN" w:bidi="ar-SA"/>
              </w:rPr>
            </w:pPr>
            <w:r>
              <w:rPr>
                <w:rFonts w:hint="eastAsia" w:ascii="宋体" w:hAnsi="宋体"/>
                <w:color w:val="000000"/>
                <w:sz w:val="22"/>
              </w:rPr>
              <w:t>0</w:t>
            </w:r>
          </w:p>
        </w:tc>
        <w:tc>
          <w:tcPr>
            <w:tcW w:w="148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spacing w:beforeLines="0" w:afterLines="0"/>
              <w:jc w:val="center"/>
              <w:rPr>
                <w:rFonts w:hint="eastAsia" w:ascii="宋体" w:hAnsi="宋体" w:eastAsiaTheme="minorEastAsia" w:cstheme="minorBidi"/>
                <w:color w:val="000000"/>
                <w:kern w:val="2"/>
                <w:sz w:val="22"/>
                <w:szCs w:val="24"/>
                <w:lang w:val="en-US" w:eastAsia="zh-CN" w:bidi="ar-SA"/>
              </w:rPr>
            </w:pPr>
            <w:r>
              <w:rPr>
                <w:rFonts w:hint="eastAsia" w:ascii="宋体" w:hAnsi="宋体"/>
                <w:color w:val="000000"/>
                <w:sz w:val="22"/>
              </w:rPr>
              <w:t>0</w:t>
            </w:r>
          </w:p>
        </w:tc>
        <w:tc>
          <w:tcPr>
            <w:tcW w:w="1780"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spacing w:beforeLines="0" w:afterLines="0"/>
              <w:jc w:val="center"/>
              <w:rPr>
                <w:rFonts w:hint="eastAsia" w:ascii="宋体" w:hAnsi="宋体" w:eastAsiaTheme="minorEastAsia" w:cstheme="minorBidi"/>
                <w:color w:val="000000"/>
                <w:kern w:val="2"/>
                <w:sz w:val="22"/>
                <w:szCs w:val="24"/>
                <w:lang w:val="en-US" w:eastAsia="zh-CN" w:bidi="ar-SA"/>
              </w:rPr>
            </w:pPr>
            <w:r>
              <w:rPr>
                <w:rFonts w:hint="eastAsia" w:ascii="宋体" w:hAnsi="宋体"/>
                <w:color w:val="000000"/>
                <w:sz w:val="22"/>
              </w:rPr>
              <w:t>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5" w:hRule="atLeast"/>
        </w:trPr>
        <w:tc>
          <w:tcPr>
            <w:tcW w:w="2508"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规范性文件</w:t>
            </w:r>
          </w:p>
        </w:tc>
        <w:tc>
          <w:tcPr>
            <w:tcW w:w="2503"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spacing w:beforeLines="0" w:afterLines="0"/>
              <w:jc w:val="center"/>
              <w:rPr>
                <w:rFonts w:hint="eastAsia" w:ascii="宋体" w:hAnsi="宋体" w:eastAsiaTheme="minorEastAsia" w:cstheme="minorBidi"/>
                <w:color w:val="000000"/>
                <w:kern w:val="2"/>
                <w:sz w:val="22"/>
                <w:szCs w:val="24"/>
                <w:lang w:val="en-US" w:eastAsia="zh-CN" w:bidi="ar-SA"/>
              </w:rPr>
            </w:pPr>
            <w:r>
              <w:rPr>
                <w:rFonts w:hint="eastAsia" w:ascii="宋体" w:hAnsi="宋体"/>
                <w:color w:val="000000"/>
                <w:sz w:val="22"/>
              </w:rPr>
              <w:t>127</w:t>
            </w:r>
          </w:p>
        </w:tc>
        <w:tc>
          <w:tcPr>
            <w:tcW w:w="1489"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spacing w:beforeLines="0" w:afterLines="0"/>
              <w:jc w:val="center"/>
              <w:rPr>
                <w:rFonts w:hint="eastAsia" w:ascii="宋体" w:hAnsi="宋体" w:eastAsiaTheme="minorEastAsia" w:cstheme="minorBidi"/>
                <w:color w:val="000000"/>
                <w:kern w:val="2"/>
                <w:sz w:val="22"/>
                <w:szCs w:val="24"/>
                <w:lang w:val="en-US" w:eastAsia="zh-CN" w:bidi="ar-SA"/>
              </w:rPr>
            </w:pPr>
            <w:r>
              <w:rPr>
                <w:rFonts w:hint="eastAsia" w:ascii="宋体" w:hAnsi="宋体"/>
                <w:color w:val="000000"/>
                <w:sz w:val="22"/>
              </w:rPr>
              <w:t>127</w:t>
            </w:r>
          </w:p>
        </w:tc>
        <w:tc>
          <w:tcPr>
            <w:tcW w:w="1780"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spacing w:beforeLines="0" w:afterLines="0"/>
              <w:jc w:val="center"/>
              <w:rPr>
                <w:rFonts w:hint="eastAsia" w:ascii="宋体" w:hAnsi="宋体" w:eastAsiaTheme="minorEastAsia" w:cstheme="minorBidi"/>
                <w:color w:val="000000"/>
                <w:kern w:val="2"/>
                <w:sz w:val="22"/>
                <w:szCs w:val="24"/>
                <w:lang w:val="en-US" w:eastAsia="zh-CN" w:bidi="ar-SA"/>
              </w:rPr>
            </w:pPr>
            <w:r>
              <w:rPr>
                <w:rFonts w:hint="eastAsia" w:ascii="宋体" w:hAnsi="宋体"/>
                <w:color w:val="000000"/>
                <w:sz w:val="22"/>
              </w:rPr>
              <w:t>1443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8280" w:type="dxa"/>
            <w:gridSpan w:val="4"/>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jc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第二十条第（五）项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5" w:hRule="atLeast"/>
        </w:trPr>
        <w:tc>
          <w:tcPr>
            <w:tcW w:w="2508"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信息内容</w:t>
            </w:r>
          </w:p>
        </w:tc>
        <w:tc>
          <w:tcPr>
            <w:tcW w:w="2503"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上一年项目数量</w:t>
            </w:r>
          </w:p>
        </w:tc>
        <w:tc>
          <w:tcPr>
            <w:tcW w:w="1489"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本年增/减</w:t>
            </w:r>
          </w:p>
        </w:tc>
        <w:tc>
          <w:tcPr>
            <w:tcW w:w="1780"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1" w:hRule="atLeast"/>
        </w:trPr>
        <w:tc>
          <w:tcPr>
            <w:tcW w:w="250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行政许可</w:t>
            </w:r>
          </w:p>
        </w:tc>
        <w:tc>
          <w:tcPr>
            <w:tcW w:w="2503"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spacing w:beforeLines="0" w:afterLines="0"/>
              <w:jc w:val="center"/>
              <w:rPr>
                <w:rFonts w:hint="eastAsia" w:ascii="宋体" w:hAnsi="宋体" w:eastAsiaTheme="minorEastAsia" w:cstheme="minorBidi"/>
                <w:color w:val="000000"/>
                <w:kern w:val="2"/>
                <w:sz w:val="22"/>
                <w:szCs w:val="24"/>
                <w:lang w:val="en-US" w:eastAsia="zh-CN" w:bidi="ar-SA"/>
              </w:rPr>
            </w:pPr>
            <w:r>
              <w:rPr>
                <w:rFonts w:hint="eastAsia" w:ascii="宋体" w:hAnsi="宋体"/>
                <w:color w:val="000000"/>
                <w:sz w:val="22"/>
              </w:rPr>
              <w:t>347</w:t>
            </w:r>
          </w:p>
        </w:tc>
        <w:tc>
          <w:tcPr>
            <w:tcW w:w="148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spacing w:beforeLines="0" w:afterLines="0"/>
              <w:jc w:val="center"/>
              <w:rPr>
                <w:rFonts w:hint="eastAsia" w:ascii="宋体" w:hAnsi="宋体" w:eastAsiaTheme="minorEastAsia" w:cstheme="minorBidi"/>
                <w:color w:val="000000"/>
                <w:kern w:val="2"/>
                <w:sz w:val="22"/>
                <w:szCs w:val="24"/>
                <w:lang w:val="en-US" w:eastAsia="zh-CN" w:bidi="ar-SA"/>
              </w:rPr>
            </w:pPr>
            <w:r>
              <w:rPr>
                <w:rFonts w:hint="eastAsia" w:ascii="宋体" w:hAnsi="宋体"/>
                <w:color w:val="000000"/>
                <w:sz w:val="22"/>
              </w:rPr>
              <w:t>-73</w:t>
            </w:r>
          </w:p>
        </w:tc>
        <w:tc>
          <w:tcPr>
            <w:tcW w:w="1780"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spacing w:beforeLines="0" w:afterLines="0"/>
              <w:jc w:val="center"/>
              <w:rPr>
                <w:rFonts w:hint="eastAsia" w:ascii="宋体" w:hAnsi="宋体" w:eastAsiaTheme="minorEastAsia" w:cstheme="minorBidi"/>
                <w:color w:val="000000"/>
                <w:kern w:val="2"/>
                <w:sz w:val="22"/>
                <w:szCs w:val="24"/>
                <w:lang w:val="en-US" w:eastAsia="zh-CN" w:bidi="ar-SA"/>
              </w:rPr>
            </w:pPr>
            <w:r>
              <w:rPr>
                <w:rFonts w:hint="eastAsia" w:ascii="宋体" w:hAnsi="宋体"/>
                <w:color w:val="000000"/>
                <w:sz w:val="22"/>
              </w:rPr>
              <w:t>326417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atLeast"/>
        </w:trPr>
        <w:tc>
          <w:tcPr>
            <w:tcW w:w="2508"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其他对外管理服务事项</w:t>
            </w:r>
          </w:p>
        </w:tc>
        <w:tc>
          <w:tcPr>
            <w:tcW w:w="2503"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spacing w:beforeLines="0" w:afterLines="0"/>
              <w:jc w:val="center"/>
              <w:rPr>
                <w:rFonts w:hint="eastAsia" w:ascii="宋体" w:hAnsi="宋体" w:eastAsiaTheme="minorEastAsia" w:cstheme="minorBidi"/>
                <w:color w:val="000000"/>
                <w:kern w:val="2"/>
                <w:sz w:val="22"/>
                <w:szCs w:val="24"/>
                <w:lang w:val="en-US" w:eastAsia="zh-CN" w:bidi="ar-SA"/>
              </w:rPr>
            </w:pPr>
            <w:r>
              <w:rPr>
                <w:rFonts w:hint="eastAsia" w:ascii="宋体" w:hAnsi="宋体"/>
                <w:color w:val="000000"/>
                <w:sz w:val="22"/>
              </w:rPr>
              <w:t>1573</w:t>
            </w:r>
          </w:p>
        </w:tc>
        <w:tc>
          <w:tcPr>
            <w:tcW w:w="1489"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spacing w:beforeLines="0" w:afterLines="0"/>
              <w:jc w:val="center"/>
              <w:rPr>
                <w:rFonts w:hint="eastAsia" w:ascii="宋体" w:hAnsi="宋体" w:eastAsiaTheme="minorEastAsia" w:cstheme="minorBidi"/>
                <w:color w:val="000000"/>
                <w:kern w:val="2"/>
                <w:sz w:val="22"/>
                <w:szCs w:val="24"/>
                <w:lang w:val="en-US" w:eastAsia="zh-CN" w:bidi="ar-SA"/>
              </w:rPr>
            </w:pPr>
            <w:r>
              <w:rPr>
                <w:rFonts w:hint="eastAsia" w:ascii="宋体" w:hAnsi="宋体"/>
                <w:color w:val="000000"/>
                <w:sz w:val="22"/>
              </w:rPr>
              <w:t>-179</w:t>
            </w:r>
          </w:p>
        </w:tc>
        <w:tc>
          <w:tcPr>
            <w:tcW w:w="1780"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spacing w:beforeLines="0" w:afterLines="0"/>
              <w:jc w:val="center"/>
              <w:rPr>
                <w:rFonts w:hint="eastAsia" w:ascii="宋体" w:hAnsi="宋体" w:eastAsiaTheme="minorEastAsia" w:cstheme="minorBidi"/>
                <w:color w:val="000000"/>
                <w:kern w:val="2"/>
                <w:sz w:val="22"/>
                <w:szCs w:val="24"/>
                <w:lang w:val="en-US" w:eastAsia="zh-CN" w:bidi="ar-SA"/>
              </w:rPr>
            </w:pPr>
            <w:r>
              <w:rPr>
                <w:rFonts w:hint="eastAsia" w:ascii="宋体" w:hAnsi="宋体"/>
                <w:color w:val="000000"/>
                <w:sz w:val="22"/>
              </w:rPr>
              <w:t>3356054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8280" w:type="dxa"/>
            <w:gridSpan w:val="4"/>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jc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第二十条第（六）项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5" w:hRule="atLeast"/>
        </w:trPr>
        <w:tc>
          <w:tcPr>
            <w:tcW w:w="2508"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信息内容</w:t>
            </w:r>
          </w:p>
        </w:tc>
        <w:tc>
          <w:tcPr>
            <w:tcW w:w="2503"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上一年项目数量</w:t>
            </w:r>
          </w:p>
        </w:tc>
        <w:tc>
          <w:tcPr>
            <w:tcW w:w="1489"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本年增/减</w:t>
            </w:r>
          </w:p>
        </w:tc>
        <w:tc>
          <w:tcPr>
            <w:tcW w:w="1780"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50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行政处罚</w:t>
            </w:r>
          </w:p>
        </w:tc>
        <w:tc>
          <w:tcPr>
            <w:tcW w:w="2503"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spacing w:beforeLines="0" w:afterLines="0"/>
              <w:jc w:val="center"/>
              <w:rPr>
                <w:rFonts w:hint="eastAsia" w:ascii="宋体" w:hAnsi="宋体" w:eastAsiaTheme="minorEastAsia" w:cstheme="minorBidi"/>
                <w:color w:val="000000"/>
                <w:kern w:val="2"/>
                <w:sz w:val="22"/>
                <w:szCs w:val="24"/>
                <w:lang w:val="en-US" w:eastAsia="zh-CN" w:bidi="ar-SA"/>
              </w:rPr>
            </w:pPr>
            <w:r>
              <w:rPr>
                <w:rFonts w:hint="eastAsia" w:ascii="宋体" w:hAnsi="宋体"/>
                <w:color w:val="000000"/>
                <w:sz w:val="22"/>
              </w:rPr>
              <w:t>3423</w:t>
            </w:r>
          </w:p>
        </w:tc>
        <w:tc>
          <w:tcPr>
            <w:tcW w:w="1489"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spacing w:beforeLines="0" w:afterLines="0"/>
              <w:jc w:val="center"/>
              <w:rPr>
                <w:rFonts w:hint="eastAsia" w:ascii="宋体" w:hAnsi="宋体" w:eastAsiaTheme="minorEastAsia" w:cstheme="minorBidi"/>
                <w:color w:val="000000"/>
                <w:kern w:val="2"/>
                <w:sz w:val="22"/>
                <w:szCs w:val="24"/>
                <w:lang w:val="en-US" w:eastAsia="zh-CN" w:bidi="ar-SA"/>
              </w:rPr>
            </w:pPr>
            <w:r>
              <w:rPr>
                <w:rFonts w:hint="eastAsia" w:ascii="宋体" w:hAnsi="宋体"/>
                <w:color w:val="000000"/>
                <w:sz w:val="22"/>
              </w:rPr>
              <w:t>-256</w:t>
            </w:r>
          </w:p>
        </w:tc>
        <w:tc>
          <w:tcPr>
            <w:tcW w:w="1780"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spacing w:beforeLines="0" w:afterLines="0"/>
              <w:jc w:val="center"/>
              <w:rPr>
                <w:rFonts w:hint="eastAsia" w:ascii="宋体" w:hAnsi="宋体" w:eastAsiaTheme="minorEastAsia" w:cstheme="minorBidi"/>
                <w:color w:val="000000"/>
                <w:kern w:val="2"/>
                <w:sz w:val="22"/>
                <w:szCs w:val="24"/>
                <w:lang w:val="en-US" w:eastAsia="zh-CN" w:bidi="ar-SA"/>
              </w:rPr>
            </w:pPr>
            <w:r>
              <w:rPr>
                <w:rFonts w:hint="eastAsia" w:ascii="宋体" w:hAnsi="宋体"/>
                <w:color w:val="000000"/>
                <w:sz w:val="22"/>
              </w:rPr>
              <w:t>177083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2508"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行政强制</w:t>
            </w:r>
          </w:p>
        </w:tc>
        <w:tc>
          <w:tcPr>
            <w:tcW w:w="2503"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spacing w:beforeLines="0" w:afterLines="0"/>
              <w:jc w:val="center"/>
              <w:rPr>
                <w:rFonts w:hint="eastAsia" w:ascii="宋体" w:hAnsi="宋体" w:eastAsiaTheme="minorEastAsia" w:cstheme="minorBidi"/>
                <w:color w:val="000000"/>
                <w:kern w:val="2"/>
                <w:sz w:val="22"/>
                <w:szCs w:val="24"/>
                <w:lang w:val="en-US" w:eastAsia="zh-CN" w:bidi="ar-SA"/>
              </w:rPr>
            </w:pPr>
            <w:r>
              <w:rPr>
                <w:rFonts w:hint="eastAsia" w:ascii="宋体" w:hAnsi="宋体"/>
                <w:color w:val="000000"/>
                <w:sz w:val="22"/>
              </w:rPr>
              <w:t>173</w:t>
            </w:r>
          </w:p>
        </w:tc>
        <w:tc>
          <w:tcPr>
            <w:tcW w:w="1489"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spacing w:beforeLines="0" w:afterLines="0"/>
              <w:jc w:val="center"/>
              <w:rPr>
                <w:rFonts w:hint="eastAsia" w:ascii="宋体" w:hAnsi="宋体" w:eastAsiaTheme="minorEastAsia" w:cstheme="minorBidi"/>
                <w:color w:val="000000"/>
                <w:kern w:val="2"/>
                <w:sz w:val="22"/>
                <w:szCs w:val="24"/>
                <w:lang w:val="en-US" w:eastAsia="zh-CN" w:bidi="ar-SA"/>
              </w:rPr>
            </w:pPr>
            <w:r>
              <w:rPr>
                <w:rFonts w:hint="eastAsia" w:ascii="宋体" w:hAnsi="宋体"/>
                <w:color w:val="000000"/>
                <w:sz w:val="22"/>
              </w:rPr>
              <w:t>-21</w:t>
            </w:r>
          </w:p>
        </w:tc>
        <w:tc>
          <w:tcPr>
            <w:tcW w:w="1780"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spacing w:beforeLines="0" w:afterLines="0"/>
              <w:jc w:val="center"/>
              <w:rPr>
                <w:rFonts w:hint="eastAsia" w:ascii="宋体" w:hAnsi="宋体" w:eastAsiaTheme="minorEastAsia" w:cstheme="minorBidi"/>
                <w:color w:val="000000"/>
                <w:kern w:val="2"/>
                <w:sz w:val="22"/>
                <w:szCs w:val="24"/>
                <w:lang w:val="en-US" w:eastAsia="zh-CN" w:bidi="ar-SA"/>
              </w:rPr>
            </w:pPr>
            <w:r>
              <w:rPr>
                <w:rFonts w:hint="eastAsia" w:ascii="宋体" w:hAnsi="宋体"/>
                <w:color w:val="000000"/>
                <w:sz w:val="22"/>
              </w:rPr>
              <w:t>5230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8280" w:type="dxa"/>
            <w:gridSpan w:val="4"/>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第二十条第（八）项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5" w:hRule="atLeast"/>
        </w:trPr>
        <w:tc>
          <w:tcPr>
            <w:tcW w:w="2508"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信息内容</w:t>
            </w:r>
          </w:p>
        </w:tc>
        <w:tc>
          <w:tcPr>
            <w:tcW w:w="2503"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上一年项目数量</w:t>
            </w:r>
          </w:p>
        </w:tc>
        <w:tc>
          <w:tcPr>
            <w:tcW w:w="3269" w:type="dxa"/>
            <w:gridSpan w:val="2"/>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jc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本年增/减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5" w:hRule="atLeast"/>
        </w:trPr>
        <w:tc>
          <w:tcPr>
            <w:tcW w:w="250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widowControl/>
              <w:spacing w:beforeLines="0" w:afterLines="0"/>
              <w:jc w:val="center"/>
              <w:textAlignment w:val="center"/>
              <w:rPr>
                <w:rFonts w:hint="eastAsia" w:ascii="宋体" w:hAnsi="宋体" w:eastAsiaTheme="minorEastAsia" w:cstheme="minorBidi"/>
                <w:b/>
                <w:color w:val="000000"/>
                <w:kern w:val="2"/>
                <w:sz w:val="24"/>
                <w:szCs w:val="24"/>
                <w:lang w:val="en-US" w:eastAsia="zh-CN" w:bidi="ar-SA"/>
              </w:rPr>
            </w:pPr>
            <w:r>
              <w:rPr>
                <w:rFonts w:hint="eastAsia" w:ascii="宋体" w:hAnsi="宋体"/>
                <w:b/>
                <w:color w:val="000000"/>
                <w:kern w:val="0"/>
                <w:sz w:val="24"/>
              </w:rPr>
              <w:t>行政事业性收费</w:t>
            </w:r>
          </w:p>
        </w:tc>
        <w:tc>
          <w:tcPr>
            <w:tcW w:w="2503"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jc w:val="center"/>
              <w:rPr>
                <w:rFonts w:hint="eastAsia" w:ascii="宋体" w:hAnsi="宋体" w:eastAsiaTheme="minorEastAsia" w:cstheme="minorBidi"/>
                <w:color w:val="000000"/>
                <w:kern w:val="2"/>
                <w:sz w:val="24"/>
                <w:szCs w:val="24"/>
                <w:lang w:val="en-US" w:eastAsia="zh-CN" w:bidi="ar-SA"/>
              </w:rPr>
            </w:pPr>
            <w:r>
              <w:rPr>
                <w:rFonts w:hint="eastAsia" w:ascii="宋体" w:hAnsi="宋体"/>
                <w:color w:val="000000"/>
                <w:sz w:val="24"/>
              </w:rPr>
              <w:t>100</w:t>
            </w:r>
          </w:p>
        </w:tc>
        <w:tc>
          <w:tcPr>
            <w:tcW w:w="3269" w:type="dxa"/>
            <w:gridSpan w:val="2"/>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jc w:val="center"/>
              <w:rPr>
                <w:rFonts w:hint="eastAsia" w:ascii="宋体" w:hAnsi="宋体" w:eastAsiaTheme="minorEastAsia" w:cstheme="minorBidi"/>
                <w:color w:val="000000"/>
                <w:kern w:val="2"/>
                <w:sz w:val="24"/>
                <w:szCs w:val="24"/>
                <w:lang w:val="en-US" w:eastAsia="zh-CN" w:bidi="ar-SA"/>
              </w:rPr>
            </w:pPr>
            <w:r>
              <w:rPr>
                <w:rFonts w:hint="eastAsia" w:ascii="宋体" w:hAnsi="宋体"/>
                <w:color w:val="000000"/>
                <w:sz w:val="24"/>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8280" w:type="dxa"/>
            <w:gridSpan w:val="4"/>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第二十条第（九）项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5" w:hRule="atLeast"/>
        </w:trPr>
        <w:tc>
          <w:tcPr>
            <w:tcW w:w="2508"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信息内容</w:t>
            </w:r>
          </w:p>
        </w:tc>
        <w:tc>
          <w:tcPr>
            <w:tcW w:w="2503" w:type="dxa"/>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采购项目数量</w:t>
            </w:r>
          </w:p>
        </w:tc>
        <w:tc>
          <w:tcPr>
            <w:tcW w:w="3269" w:type="dxa"/>
            <w:gridSpan w:val="2"/>
            <w:tcBorders>
              <w:top w:val="single" w:color="4F81BD" w:sz="8" w:space="0"/>
              <w:left w:val="single" w:color="4F81BD" w:sz="8" w:space="0"/>
              <w:bottom w:val="single" w:color="4F81BD" w:sz="8" w:space="0"/>
              <w:right w:val="single" w:color="4F81BD" w:sz="8" w:space="0"/>
            </w:tcBorders>
            <w:shd w:val="clear" w:color="auto" w:fill="FFFFFF"/>
            <w:noWrap/>
            <w:tcMar>
              <w:top w:w="15" w:type="dxa"/>
              <w:left w:w="15" w:type="dxa"/>
              <w:right w:w="15" w:type="dxa"/>
            </w:tcMar>
            <w:vAlign w:val="center"/>
          </w:tcPr>
          <w:p>
            <w:pPr>
              <w:jc w:val="center"/>
              <w:rPr>
                <w:rFonts w:hint="default" w:ascii="宋体" w:hAnsi="宋体" w:eastAsia="宋体" w:cs="宋体"/>
                <w:b/>
                <w:bCs/>
                <w:i w:val="0"/>
                <w:color w:val="000000"/>
                <w:sz w:val="24"/>
                <w:szCs w:val="24"/>
                <w:u w:val="none"/>
                <w:lang w:val="en-US"/>
              </w:rPr>
            </w:pPr>
            <w:r>
              <w:rPr>
                <w:rFonts w:hint="eastAsia" w:ascii="宋体" w:hAnsi="宋体" w:eastAsia="宋体" w:cs="宋体"/>
                <w:b/>
                <w:bCs/>
                <w:i w:val="0"/>
                <w:color w:val="000000"/>
                <w:kern w:val="0"/>
                <w:sz w:val="24"/>
                <w:szCs w:val="24"/>
                <w:u w:val="none"/>
                <w:lang w:val="en-US" w:eastAsia="zh-CN" w:bidi="ar"/>
              </w:rPr>
              <w:t>采购总金额（万元）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2" w:hRule="atLeast"/>
        </w:trPr>
        <w:tc>
          <w:tcPr>
            <w:tcW w:w="2508"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widowControl/>
              <w:spacing w:beforeLines="0" w:afterLines="0"/>
              <w:jc w:val="center"/>
              <w:textAlignment w:val="center"/>
              <w:rPr>
                <w:rFonts w:hint="eastAsia" w:ascii="宋体" w:hAnsi="宋体" w:eastAsiaTheme="minorEastAsia" w:cstheme="minorBidi"/>
                <w:b/>
                <w:color w:val="000000"/>
                <w:kern w:val="2"/>
                <w:sz w:val="24"/>
                <w:szCs w:val="24"/>
                <w:lang w:val="en-US" w:eastAsia="zh-CN" w:bidi="ar-SA"/>
              </w:rPr>
            </w:pPr>
            <w:r>
              <w:rPr>
                <w:rFonts w:hint="eastAsia" w:ascii="宋体" w:hAnsi="宋体"/>
                <w:b/>
                <w:color w:val="000000"/>
                <w:kern w:val="0"/>
                <w:sz w:val="24"/>
              </w:rPr>
              <w:t>政府集中采购</w:t>
            </w:r>
          </w:p>
        </w:tc>
        <w:tc>
          <w:tcPr>
            <w:tcW w:w="2503" w:type="dxa"/>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jc w:val="center"/>
              <w:rPr>
                <w:rFonts w:hint="eastAsia" w:ascii="宋体" w:hAnsi="宋体" w:eastAsiaTheme="minorEastAsia" w:cstheme="minorBidi"/>
                <w:color w:val="000000"/>
                <w:kern w:val="2"/>
                <w:sz w:val="24"/>
                <w:szCs w:val="24"/>
                <w:lang w:val="en-US" w:eastAsia="zh-CN" w:bidi="ar-SA"/>
              </w:rPr>
            </w:pPr>
            <w:r>
              <w:rPr>
                <w:rFonts w:hint="eastAsia" w:ascii="宋体" w:hAnsi="宋体"/>
                <w:color w:val="000000"/>
                <w:sz w:val="24"/>
              </w:rPr>
              <w:t>3113</w:t>
            </w:r>
          </w:p>
        </w:tc>
        <w:tc>
          <w:tcPr>
            <w:tcW w:w="3269" w:type="dxa"/>
            <w:gridSpan w:val="2"/>
            <w:tcBorders>
              <w:top w:val="single" w:color="4F81BD" w:sz="8" w:space="0"/>
              <w:left w:val="single" w:color="4F81BD" w:sz="8" w:space="0"/>
              <w:bottom w:val="single" w:color="4F81BD" w:sz="8" w:space="0"/>
              <w:right w:val="single" w:color="4F81BD" w:sz="8" w:space="0"/>
            </w:tcBorders>
            <w:shd w:val="clear" w:color="auto" w:fill="B8CCE4"/>
            <w:noWrap/>
            <w:tcMar>
              <w:top w:w="15" w:type="dxa"/>
              <w:left w:w="15" w:type="dxa"/>
              <w:right w:w="15" w:type="dxa"/>
            </w:tcMar>
            <w:vAlign w:val="center"/>
          </w:tcPr>
          <w:p>
            <w:pPr>
              <w:jc w:val="center"/>
              <w:rPr>
                <w:rFonts w:hint="eastAsia" w:ascii="宋体" w:hAnsi="宋体" w:eastAsiaTheme="minorEastAsia" w:cstheme="minorBidi"/>
                <w:color w:val="000000"/>
                <w:kern w:val="2"/>
                <w:sz w:val="24"/>
                <w:szCs w:val="24"/>
                <w:lang w:val="en-US" w:eastAsia="zh-CN" w:bidi="ar-SA"/>
              </w:rPr>
            </w:pPr>
            <w:r>
              <w:rPr>
                <w:rFonts w:hint="eastAsia" w:ascii="宋体" w:hAnsi="宋体"/>
                <w:color w:val="000000"/>
                <w:sz w:val="24"/>
              </w:rPr>
              <w:t>631972.7378</w:t>
            </w:r>
          </w:p>
        </w:tc>
      </w:tr>
    </w:tbl>
    <w:p>
      <w:pPr>
        <w:rPr>
          <w:rFonts w:hint="eastAsia"/>
          <w:lang w:val="en-US" w:eastAsia="zh-CN"/>
        </w:rPr>
      </w:pPr>
      <w:r>
        <w:rPr>
          <w:rFonts w:hint="eastAsia"/>
          <w:lang w:val="en-US" w:eastAsia="zh-CN"/>
        </w:rPr>
        <w:t>说明：行政事业性收费项目增多的原因主要为人事部门调整考试收费，将考试项目进行细化。</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600" w:lineRule="exact"/>
        <w:ind w:firstLine="643" w:firstLineChars="200"/>
        <w:textAlignment w:val="auto"/>
        <w:rPr>
          <w:rFonts w:hint="default" w:asciiTheme="majorEastAsia" w:hAnsiTheme="majorEastAsia" w:eastAsiaTheme="majorEastAsia" w:cstheme="majorEastAsia"/>
          <w:b/>
          <w:bCs/>
          <w:sz w:val="32"/>
          <w:lang w:val="en-US" w:eastAsia="zh-CN"/>
        </w:rPr>
      </w:pPr>
      <w:r>
        <w:rPr>
          <w:rFonts w:hint="eastAsia" w:asciiTheme="majorEastAsia" w:hAnsiTheme="majorEastAsia" w:eastAsiaTheme="majorEastAsia" w:cstheme="majorEastAsia"/>
          <w:b/>
          <w:bCs/>
          <w:sz w:val="32"/>
          <w:lang w:val="en-US" w:eastAsia="zh-CN"/>
        </w:rPr>
        <w:t>三、收到和处理政府信息公开申请情况</w:t>
      </w:r>
    </w:p>
    <w:tbl>
      <w:tblPr>
        <w:tblStyle w:val="6"/>
        <w:tblpPr w:leftFromText="180" w:rightFromText="180" w:vertAnchor="text" w:horzAnchor="page" w:tblpX="1461" w:tblpY="403"/>
        <w:tblOverlap w:val="never"/>
        <w:tblW w:w="87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817"/>
        <w:gridCol w:w="2066"/>
        <w:gridCol w:w="917"/>
        <w:gridCol w:w="830"/>
        <w:gridCol w:w="657"/>
        <w:gridCol w:w="691"/>
        <w:gridCol w:w="658"/>
        <w:gridCol w:w="717"/>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449" w:type="dxa"/>
            <w:gridSpan w:val="3"/>
            <w:vMerge w:val="restart"/>
            <w:tcBorders>
              <w:top w:val="single" w:color="4F81BD" w:sz="8" w:space="0"/>
              <w:left w:val="single" w:color="4F81BD" w:sz="8" w:space="0"/>
              <w:bottom w:val="single" w:color="FFFFFF" w:sz="4" w:space="0"/>
              <w:right w:val="single" w:color="4F81BD" w:sz="8" w:space="0"/>
            </w:tcBorders>
            <w:shd w:val="clear" w:color="auto" w:fill="4F81BD"/>
            <w:vAlign w:val="center"/>
          </w:tcPr>
          <w:p>
            <w:pPr>
              <w:rPr>
                <w:rFonts w:hint="eastAsia" w:asciiTheme="minorHAnsi" w:hAnsiTheme="minorHAnsi" w:eastAsiaTheme="minorEastAsia" w:cstheme="minorBidi"/>
                <w:b/>
                <w:bCs/>
                <w:color w:val="FFFFFF"/>
                <w:szCs w:val="22"/>
              </w:rPr>
            </w:pPr>
            <w:r>
              <w:rPr>
                <w:rFonts w:hint="eastAsia" w:asciiTheme="minorHAnsi" w:hAnsiTheme="minorHAnsi" w:eastAsiaTheme="minorEastAsia" w:cstheme="minorBidi"/>
                <w:b/>
                <w:bCs/>
                <w:color w:val="FFFFFF"/>
                <w:szCs w:val="22"/>
              </w:rPr>
              <w:t>（本列数据的勾稽关系为：第一项加第二项之和，等于第三项加第四项之和）</w:t>
            </w:r>
          </w:p>
        </w:tc>
        <w:tc>
          <w:tcPr>
            <w:tcW w:w="5256" w:type="dxa"/>
            <w:gridSpan w:val="7"/>
            <w:tcBorders>
              <w:top w:val="single" w:color="4F81BD" w:sz="8" w:space="0"/>
              <w:left w:val="single" w:color="4F81BD" w:sz="8" w:space="0"/>
              <w:bottom w:val="single" w:color="FFFFFF" w:sz="4" w:space="0"/>
              <w:right w:val="single" w:color="4F81BD" w:sz="8" w:space="0"/>
            </w:tcBorders>
            <w:shd w:val="clear" w:color="auto" w:fill="4F81BD"/>
            <w:vAlign w:val="center"/>
          </w:tcPr>
          <w:p>
            <w:pPr>
              <w:jc w:val="center"/>
              <w:rPr>
                <w:rFonts w:hint="eastAsia" w:asciiTheme="minorHAnsi" w:hAnsiTheme="minorHAnsi" w:eastAsiaTheme="minorEastAsia" w:cstheme="minorBidi"/>
                <w:b/>
                <w:bCs/>
                <w:color w:val="FFFFFF"/>
                <w:szCs w:val="21"/>
              </w:rPr>
            </w:pPr>
            <w:r>
              <w:rPr>
                <w:rFonts w:hint="eastAsia" w:asciiTheme="minorHAnsi" w:hAnsiTheme="minorHAnsi" w:eastAsiaTheme="minorEastAsia" w:cstheme="minorBidi"/>
                <w:b/>
                <w:bCs/>
                <w:color w:val="FFFFFF"/>
                <w:szCs w:val="21"/>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3449" w:type="dxa"/>
            <w:gridSpan w:val="3"/>
            <w:vMerge w:val="continue"/>
            <w:tcBorders>
              <w:top w:val="single" w:color="FFFFFF" w:sz="4" w:space="0"/>
              <w:left w:val="single" w:color="4F81BD" w:sz="8" w:space="0"/>
              <w:bottom w:val="single" w:color="4F81BD" w:sz="8" w:space="0"/>
              <w:right w:val="single" w:color="4F81BD" w:sz="8" w:space="0"/>
            </w:tcBorders>
            <w:shd w:val="clear" w:color="auto" w:fill="B8CCE4"/>
          </w:tcPr>
          <w:p>
            <w:pPr>
              <w:rPr>
                <w:rFonts w:hint="eastAsia" w:asciiTheme="minorHAnsi" w:hAnsiTheme="minorHAnsi" w:eastAsiaTheme="minorEastAsia" w:cstheme="minorBidi"/>
                <w:b/>
                <w:bCs/>
                <w:color w:val="000000"/>
                <w:szCs w:val="22"/>
              </w:rPr>
            </w:pPr>
          </w:p>
        </w:tc>
        <w:tc>
          <w:tcPr>
            <w:tcW w:w="917" w:type="dxa"/>
            <w:vMerge w:val="restart"/>
            <w:tcBorders>
              <w:top w:val="single" w:color="FFFFFF" w:sz="4" w:space="0"/>
              <w:left w:val="single" w:color="4F81BD" w:sz="8" w:space="0"/>
              <w:bottom w:val="single" w:color="4F81BD" w:sz="8" w:space="0"/>
              <w:right w:val="single" w:color="4F81BD" w:sz="8" w:space="0"/>
            </w:tcBorders>
            <w:shd w:val="clear" w:color="auto" w:fill="B8CCE4"/>
            <w:vAlign w:val="center"/>
          </w:tcPr>
          <w:p>
            <w:pPr>
              <w:jc w:val="center"/>
              <w:rPr>
                <w:rFonts w:hint="eastAsia" w:asciiTheme="minorHAnsi" w:hAnsiTheme="minorHAnsi" w:eastAsiaTheme="minorEastAsia" w:cstheme="minorBidi"/>
                <w:b/>
                <w:bCs/>
                <w:color w:val="000000"/>
                <w:sz w:val="18"/>
                <w:szCs w:val="18"/>
              </w:rPr>
            </w:pPr>
            <w:r>
              <w:rPr>
                <w:rFonts w:hint="eastAsia" w:asciiTheme="minorHAnsi" w:hAnsiTheme="minorHAnsi" w:eastAsiaTheme="minorEastAsia" w:cstheme="minorBidi"/>
                <w:b/>
                <w:bCs/>
                <w:color w:val="000000"/>
                <w:szCs w:val="21"/>
              </w:rPr>
              <w:t>自然人</w:t>
            </w:r>
          </w:p>
        </w:tc>
        <w:tc>
          <w:tcPr>
            <w:tcW w:w="3553" w:type="dxa"/>
            <w:gridSpan w:val="5"/>
            <w:tcBorders>
              <w:top w:val="single" w:color="FFFFFF" w:sz="4" w:space="0"/>
              <w:left w:val="single" w:color="4F81BD" w:sz="8" w:space="0"/>
              <w:bottom w:val="single" w:color="4F81BD" w:sz="8" w:space="0"/>
              <w:right w:val="single" w:color="4F81BD" w:sz="8" w:space="0"/>
            </w:tcBorders>
            <w:shd w:val="clear" w:color="auto" w:fill="B8CCE4"/>
            <w:vAlign w:val="center"/>
          </w:tcPr>
          <w:p>
            <w:pPr>
              <w:jc w:val="center"/>
              <w:rPr>
                <w:rFonts w:hint="eastAsia" w:asciiTheme="minorHAnsi" w:hAnsiTheme="minorHAnsi" w:eastAsiaTheme="minorEastAsia" w:cstheme="minorBidi"/>
                <w:b/>
                <w:bCs/>
                <w:color w:val="000000"/>
                <w:szCs w:val="21"/>
              </w:rPr>
            </w:pPr>
            <w:r>
              <w:rPr>
                <w:rFonts w:hint="eastAsia" w:asciiTheme="minorHAnsi" w:hAnsiTheme="minorHAnsi" w:eastAsiaTheme="minorEastAsia" w:cstheme="minorBidi"/>
                <w:b/>
                <w:bCs/>
                <w:color w:val="000000"/>
                <w:szCs w:val="21"/>
              </w:rPr>
              <w:t>法人或其他组织</w:t>
            </w:r>
          </w:p>
        </w:tc>
        <w:tc>
          <w:tcPr>
            <w:tcW w:w="786" w:type="dxa"/>
            <w:vMerge w:val="restart"/>
            <w:tcBorders>
              <w:top w:val="single" w:color="FFFFFF" w:sz="4" w:space="0"/>
              <w:left w:val="single" w:color="4F81BD" w:sz="8" w:space="0"/>
              <w:bottom w:val="single" w:color="4F81BD" w:sz="8" w:space="0"/>
              <w:right w:val="single" w:color="4F81BD" w:sz="8" w:space="0"/>
            </w:tcBorders>
            <w:shd w:val="clear" w:color="auto" w:fill="B8CCE4"/>
            <w:vAlign w:val="center"/>
          </w:tcPr>
          <w:p>
            <w:pPr>
              <w:rPr>
                <w:rFonts w:hint="eastAsia" w:asciiTheme="minorHAnsi" w:hAnsiTheme="minorHAnsi" w:eastAsiaTheme="minorEastAsia" w:cstheme="minorBidi"/>
                <w:b/>
                <w:bCs/>
                <w:color w:val="000000"/>
                <w:szCs w:val="21"/>
              </w:rPr>
            </w:pPr>
            <w:r>
              <w:rPr>
                <w:rFonts w:hint="eastAsia" w:asciiTheme="minorHAnsi" w:hAnsiTheme="minorHAnsi" w:eastAsiaTheme="minorEastAsia" w:cstheme="minorBidi"/>
                <w:b/>
                <w:bCs/>
                <w:color w:val="000000"/>
                <w:szCs w:val="21"/>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trPr>
        <w:tc>
          <w:tcPr>
            <w:tcW w:w="3449" w:type="dxa"/>
            <w:gridSpan w:val="3"/>
            <w:vMerge w:val="continue"/>
            <w:tcBorders>
              <w:top w:val="single" w:color="4F81BD" w:sz="8" w:space="0"/>
              <w:left w:val="single" w:color="4F81BD" w:sz="8" w:space="0"/>
              <w:bottom w:val="single" w:color="4F81BD" w:sz="8" w:space="0"/>
              <w:right w:val="single" w:color="4F81BD" w:sz="8" w:space="0"/>
            </w:tcBorders>
            <w:shd w:val="clear" w:color="auto" w:fill="FFFFFF"/>
          </w:tcPr>
          <w:p>
            <w:pPr>
              <w:rPr>
                <w:rFonts w:hint="eastAsia" w:asciiTheme="minorHAnsi" w:hAnsiTheme="minorHAnsi" w:eastAsiaTheme="minorEastAsia" w:cstheme="minorBidi"/>
                <w:color w:val="000000"/>
                <w:szCs w:val="22"/>
              </w:rPr>
            </w:pPr>
          </w:p>
        </w:tc>
        <w:tc>
          <w:tcPr>
            <w:tcW w:w="917" w:type="dxa"/>
            <w:vMerge w:val="continue"/>
            <w:tcBorders>
              <w:top w:val="single" w:color="4F81BD" w:sz="8" w:space="0"/>
              <w:left w:val="single" w:color="4F81BD" w:sz="8" w:space="0"/>
              <w:bottom w:val="single" w:color="4F81BD" w:sz="8" w:space="0"/>
              <w:right w:val="single" w:color="4F81BD" w:sz="8" w:space="0"/>
            </w:tcBorders>
            <w:shd w:val="clear" w:color="auto" w:fill="FFFFFF"/>
          </w:tcPr>
          <w:p>
            <w:pPr>
              <w:rPr>
                <w:rFonts w:hint="eastAsia" w:asciiTheme="minorHAnsi" w:hAnsiTheme="minorHAnsi" w:eastAsiaTheme="minorEastAsia" w:cstheme="minorBidi"/>
                <w:color w:val="000000"/>
                <w:sz w:val="18"/>
                <w:szCs w:val="18"/>
              </w:rPr>
            </w:pPr>
          </w:p>
        </w:tc>
        <w:tc>
          <w:tcPr>
            <w:tcW w:w="830" w:type="dxa"/>
            <w:tcBorders>
              <w:top w:val="single" w:color="4F81BD" w:sz="8" w:space="0"/>
              <w:left w:val="single" w:color="4F81BD" w:sz="8" w:space="0"/>
              <w:bottom w:val="single" w:color="4F81BD" w:sz="8" w:space="0"/>
              <w:right w:val="single" w:color="4F81BD" w:sz="8" w:space="0"/>
            </w:tcBorders>
            <w:shd w:val="clear" w:color="auto" w:fill="B8CCE4"/>
            <w:vAlign w:val="center"/>
          </w:tcPr>
          <w:p>
            <w:pPr>
              <w:rPr>
                <w:rFonts w:hint="eastAsia" w:asciiTheme="minorHAnsi" w:hAnsiTheme="minorHAnsi" w:eastAsiaTheme="minorEastAsia" w:cstheme="minorBidi"/>
                <w:b/>
                <w:bCs/>
                <w:color w:val="000000"/>
                <w:szCs w:val="21"/>
              </w:rPr>
            </w:pPr>
            <w:r>
              <w:rPr>
                <w:rFonts w:hint="eastAsia" w:asciiTheme="minorHAnsi" w:hAnsiTheme="minorHAnsi" w:eastAsiaTheme="minorEastAsia" w:cstheme="minorBidi"/>
                <w:b/>
                <w:bCs/>
                <w:color w:val="000000"/>
                <w:szCs w:val="21"/>
              </w:rPr>
              <w:t>商业企业</w:t>
            </w:r>
          </w:p>
        </w:tc>
        <w:tc>
          <w:tcPr>
            <w:tcW w:w="657" w:type="dxa"/>
            <w:tcBorders>
              <w:top w:val="single" w:color="4F81BD" w:sz="8" w:space="0"/>
              <w:left w:val="single" w:color="4F81BD" w:sz="8" w:space="0"/>
              <w:bottom w:val="single" w:color="4F81BD" w:sz="8" w:space="0"/>
              <w:right w:val="single" w:color="4F81BD" w:sz="8" w:space="0"/>
            </w:tcBorders>
            <w:shd w:val="clear" w:color="auto" w:fill="B8CCE4"/>
            <w:vAlign w:val="center"/>
          </w:tcPr>
          <w:p>
            <w:pPr>
              <w:rPr>
                <w:rFonts w:hint="eastAsia" w:asciiTheme="minorHAnsi" w:hAnsiTheme="minorHAnsi" w:eastAsiaTheme="minorEastAsia" w:cstheme="minorBidi"/>
                <w:b/>
                <w:bCs/>
                <w:color w:val="000000"/>
                <w:szCs w:val="21"/>
              </w:rPr>
            </w:pPr>
            <w:r>
              <w:rPr>
                <w:rFonts w:hint="eastAsia" w:asciiTheme="minorHAnsi" w:hAnsiTheme="minorHAnsi" w:eastAsiaTheme="minorEastAsia" w:cstheme="minorBidi"/>
                <w:b/>
                <w:bCs/>
                <w:color w:val="000000"/>
                <w:szCs w:val="21"/>
              </w:rPr>
              <w:t>科研机构</w:t>
            </w:r>
          </w:p>
        </w:tc>
        <w:tc>
          <w:tcPr>
            <w:tcW w:w="691" w:type="dxa"/>
            <w:tcBorders>
              <w:top w:val="single" w:color="4F81BD" w:sz="8" w:space="0"/>
              <w:left w:val="single" w:color="4F81BD" w:sz="8" w:space="0"/>
              <w:bottom w:val="single" w:color="4F81BD" w:sz="8" w:space="0"/>
              <w:right w:val="single" w:color="4F81BD" w:sz="8" w:space="0"/>
            </w:tcBorders>
            <w:shd w:val="clear" w:color="auto" w:fill="B8CCE4"/>
            <w:vAlign w:val="center"/>
          </w:tcPr>
          <w:p>
            <w:pPr>
              <w:rPr>
                <w:rFonts w:hint="eastAsia" w:asciiTheme="minorHAnsi" w:hAnsiTheme="minorHAnsi" w:eastAsiaTheme="minorEastAsia" w:cstheme="minorBidi"/>
                <w:b/>
                <w:bCs/>
                <w:color w:val="000000"/>
                <w:szCs w:val="21"/>
              </w:rPr>
            </w:pPr>
            <w:r>
              <w:rPr>
                <w:rFonts w:hint="eastAsia" w:asciiTheme="minorHAnsi" w:hAnsiTheme="minorHAnsi" w:eastAsiaTheme="minorEastAsia" w:cstheme="minorBidi"/>
                <w:b/>
                <w:bCs/>
                <w:color w:val="000000"/>
                <w:szCs w:val="21"/>
              </w:rPr>
              <w:t>社会公益组织</w:t>
            </w:r>
          </w:p>
        </w:tc>
        <w:tc>
          <w:tcPr>
            <w:tcW w:w="658" w:type="dxa"/>
            <w:tcBorders>
              <w:top w:val="single" w:color="4F81BD" w:sz="8" w:space="0"/>
              <w:left w:val="single" w:color="4F81BD" w:sz="8" w:space="0"/>
              <w:bottom w:val="single" w:color="4F81BD" w:sz="8" w:space="0"/>
              <w:right w:val="single" w:color="4F81BD" w:sz="8" w:space="0"/>
            </w:tcBorders>
            <w:shd w:val="clear" w:color="auto" w:fill="B8CCE4"/>
            <w:vAlign w:val="center"/>
          </w:tcPr>
          <w:p>
            <w:pPr>
              <w:rPr>
                <w:rFonts w:hint="eastAsia" w:asciiTheme="minorHAnsi" w:hAnsiTheme="minorHAnsi" w:eastAsiaTheme="minorEastAsia" w:cstheme="minorBidi"/>
                <w:b/>
                <w:bCs/>
                <w:color w:val="000000"/>
                <w:szCs w:val="21"/>
              </w:rPr>
            </w:pPr>
            <w:r>
              <w:rPr>
                <w:rFonts w:hint="eastAsia" w:asciiTheme="minorHAnsi" w:hAnsiTheme="minorHAnsi" w:eastAsiaTheme="minorEastAsia" w:cstheme="minorBidi"/>
                <w:b/>
                <w:bCs/>
                <w:color w:val="000000"/>
                <w:szCs w:val="21"/>
              </w:rPr>
              <w:t>法律服务机构</w:t>
            </w:r>
          </w:p>
        </w:tc>
        <w:tc>
          <w:tcPr>
            <w:tcW w:w="717" w:type="dxa"/>
            <w:tcBorders>
              <w:top w:val="single" w:color="4F81BD" w:sz="8" w:space="0"/>
              <w:left w:val="single" w:color="4F81BD" w:sz="8" w:space="0"/>
              <w:bottom w:val="single" w:color="4F81BD" w:sz="8" w:space="0"/>
              <w:right w:val="single" w:color="4F81BD" w:sz="8" w:space="0"/>
            </w:tcBorders>
            <w:shd w:val="clear" w:color="auto" w:fill="B8CCE4"/>
            <w:vAlign w:val="center"/>
          </w:tcPr>
          <w:p>
            <w:pPr>
              <w:rPr>
                <w:rFonts w:hint="eastAsia" w:asciiTheme="minorHAnsi" w:hAnsiTheme="minorHAnsi" w:eastAsiaTheme="minorEastAsia" w:cstheme="minorBidi"/>
                <w:b/>
                <w:bCs/>
                <w:color w:val="000000"/>
                <w:szCs w:val="21"/>
              </w:rPr>
            </w:pPr>
            <w:r>
              <w:rPr>
                <w:rFonts w:hint="eastAsia" w:asciiTheme="minorHAnsi" w:hAnsiTheme="minorHAnsi" w:eastAsiaTheme="minorEastAsia" w:cstheme="minorBidi"/>
                <w:b/>
                <w:bCs/>
                <w:color w:val="000000"/>
                <w:szCs w:val="21"/>
              </w:rPr>
              <w:t>其他</w:t>
            </w:r>
          </w:p>
        </w:tc>
        <w:tc>
          <w:tcPr>
            <w:tcW w:w="786"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rPr>
                <w:rFonts w:hint="eastAsia" w:asciiTheme="minorHAnsi" w:hAnsiTheme="minorHAnsi" w:eastAsiaTheme="minorEastAsia" w:cstheme="minorBidi"/>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3449" w:type="dxa"/>
            <w:gridSpan w:val="3"/>
            <w:tcBorders>
              <w:top w:val="single" w:color="4F81BD" w:sz="8" w:space="0"/>
              <w:left w:val="single" w:color="4F81BD" w:sz="8" w:space="0"/>
              <w:bottom w:val="single" w:color="4F81BD" w:sz="8" w:space="0"/>
              <w:right w:val="single" w:color="4F81BD" w:sz="8" w:space="0"/>
            </w:tcBorders>
            <w:shd w:val="clear" w:color="auto" w:fill="B8CCE4"/>
          </w:tcPr>
          <w:p>
            <w:pPr>
              <w:rPr>
                <w:rFonts w:hint="eastAsia" w:asciiTheme="minorHAnsi" w:hAnsiTheme="minorHAnsi" w:eastAsiaTheme="minorEastAsia" w:cstheme="minorBidi"/>
                <w:b/>
                <w:bCs/>
                <w:color w:val="000000"/>
                <w:szCs w:val="22"/>
              </w:rPr>
            </w:pPr>
            <w:r>
              <w:rPr>
                <w:rFonts w:hint="eastAsia" w:asciiTheme="minorHAnsi" w:hAnsiTheme="minorHAnsi" w:eastAsiaTheme="minorEastAsia" w:cstheme="minorBidi"/>
                <w:b/>
                <w:bCs/>
                <w:color w:val="000000"/>
                <w:szCs w:val="22"/>
              </w:rPr>
              <w:t>一、本年新收政府信息公开申请数量</w:t>
            </w:r>
          </w:p>
        </w:tc>
        <w:tc>
          <w:tcPr>
            <w:tcW w:w="91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1330</w:t>
            </w:r>
          </w:p>
        </w:tc>
        <w:tc>
          <w:tcPr>
            <w:tcW w:w="830"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1"/>
              </w:rPr>
            </w:pPr>
            <w:r>
              <w:rPr>
                <w:rFonts w:hint="eastAsia" w:ascii="宋体" w:hAnsi="宋体"/>
                <w:color w:val="000000"/>
                <w:sz w:val="24"/>
              </w:rPr>
              <w:t>45</w:t>
            </w:r>
          </w:p>
        </w:tc>
        <w:tc>
          <w:tcPr>
            <w:tcW w:w="65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1"/>
              </w:rPr>
            </w:pPr>
            <w:r>
              <w:rPr>
                <w:rFonts w:hint="eastAsia" w:ascii="宋体" w:hAnsi="宋体"/>
                <w:color w:val="000000"/>
                <w:sz w:val="24"/>
              </w:rPr>
              <w:t>17</w:t>
            </w:r>
          </w:p>
        </w:tc>
        <w:tc>
          <w:tcPr>
            <w:tcW w:w="691"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1"/>
              </w:rPr>
            </w:pPr>
            <w:r>
              <w:rPr>
                <w:rFonts w:hint="eastAsia" w:ascii="宋体" w:hAnsi="宋体"/>
                <w:color w:val="000000"/>
                <w:sz w:val="24"/>
              </w:rPr>
              <w:t>5</w:t>
            </w:r>
          </w:p>
        </w:tc>
        <w:tc>
          <w:tcPr>
            <w:tcW w:w="658"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1"/>
              </w:rPr>
            </w:pPr>
            <w:r>
              <w:rPr>
                <w:rFonts w:hint="eastAsia" w:ascii="宋体" w:hAnsi="宋体"/>
                <w:color w:val="000000"/>
                <w:sz w:val="24"/>
              </w:rPr>
              <w:t>1</w:t>
            </w:r>
          </w:p>
        </w:tc>
        <w:tc>
          <w:tcPr>
            <w:tcW w:w="71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1"/>
              </w:rPr>
            </w:pPr>
            <w:r>
              <w:rPr>
                <w:rFonts w:hint="eastAsia" w:ascii="宋体" w:hAnsi="宋体"/>
                <w:color w:val="000000"/>
                <w:sz w:val="24"/>
              </w:rPr>
              <w:t>1</w:t>
            </w:r>
          </w:p>
        </w:tc>
        <w:tc>
          <w:tcPr>
            <w:tcW w:w="786"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1"/>
              </w:rPr>
            </w:pPr>
            <w:r>
              <w:rPr>
                <w:rFonts w:hint="eastAsia" w:ascii="宋体" w:hAnsi="宋体"/>
                <w:color w:val="000000"/>
                <w:sz w:val="24"/>
              </w:rPr>
              <w:t>1399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3449" w:type="dxa"/>
            <w:gridSpan w:val="3"/>
            <w:tcBorders>
              <w:top w:val="single" w:color="4F81BD" w:sz="8" w:space="0"/>
              <w:left w:val="single" w:color="4F81BD" w:sz="8" w:space="0"/>
              <w:bottom w:val="single" w:color="4F81BD" w:sz="8" w:space="0"/>
              <w:right w:val="single" w:color="4F81BD" w:sz="8" w:space="0"/>
            </w:tcBorders>
            <w:shd w:val="clear" w:color="auto" w:fill="FFFFFF"/>
          </w:tcPr>
          <w:p>
            <w:pPr>
              <w:rPr>
                <w:rFonts w:hint="eastAsia" w:asciiTheme="minorHAnsi" w:hAnsiTheme="minorHAnsi" w:eastAsiaTheme="minorEastAsia" w:cstheme="minorBidi"/>
                <w:b/>
                <w:bCs/>
                <w:color w:val="000000"/>
                <w:szCs w:val="22"/>
              </w:rPr>
            </w:pPr>
            <w:r>
              <w:rPr>
                <w:rFonts w:hint="eastAsia" w:asciiTheme="minorHAnsi" w:hAnsiTheme="minorHAnsi" w:eastAsiaTheme="minorEastAsia" w:cstheme="minorBidi"/>
                <w:b/>
                <w:bCs/>
                <w:color w:val="000000"/>
                <w:szCs w:val="22"/>
              </w:rPr>
              <w:t>二、上年结转政府信息公开申请数量</w:t>
            </w:r>
          </w:p>
        </w:tc>
        <w:tc>
          <w:tcPr>
            <w:tcW w:w="91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lang w:val="en-US" w:eastAsia="zh-CN"/>
              </w:rPr>
            </w:pPr>
            <w:r>
              <w:rPr>
                <w:rFonts w:hint="eastAsia" w:ascii="宋体" w:hAnsi="宋体"/>
                <w:color w:val="000000"/>
                <w:sz w:val="24"/>
              </w:rPr>
              <w:t>1</w:t>
            </w:r>
            <w:r>
              <w:rPr>
                <w:rFonts w:hint="eastAsia" w:ascii="宋体" w:hAnsi="宋体"/>
                <w:color w:val="000000"/>
                <w:sz w:val="24"/>
                <w:lang w:val="en-US" w:eastAsia="zh-CN"/>
              </w:rPr>
              <w:t>0</w:t>
            </w:r>
          </w:p>
        </w:tc>
        <w:tc>
          <w:tcPr>
            <w:tcW w:w="83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lang w:val="en-US" w:eastAsia="zh-CN"/>
              </w:rPr>
            </w:pPr>
            <w:r>
              <w:rPr>
                <w:rFonts w:hint="eastAsia" w:ascii="宋体" w:hAnsi="宋体"/>
                <w:color w:val="000000"/>
                <w:sz w:val="24"/>
                <w:lang w:val="en-US" w:eastAsia="zh-CN"/>
              </w:rPr>
              <w:t>8</w:t>
            </w:r>
          </w:p>
        </w:tc>
        <w:tc>
          <w:tcPr>
            <w:tcW w:w="65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91"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8"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1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86"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66" w:type="dxa"/>
            <w:vMerge w:val="restart"/>
            <w:tcBorders>
              <w:top w:val="single" w:color="4F81BD" w:sz="8" w:space="0"/>
              <w:left w:val="single" w:color="4F81BD" w:sz="8" w:space="0"/>
              <w:bottom w:val="single" w:color="4F81BD" w:sz="8" w:space="0"/>
              <w:right w:val="single" w:color="4F81BD" w:sz="8" w:space="0"/>
            </w:tcBorders>
            <w:shd w:val="clear" w:color="auto" w:fill="B8CCE4"/>
            <w:vAlign w:val="center"/>
          </w:tcPr>
          <w:p>
            <w:pPr>
              <w:jc w:val="both"/>
              <w:rPr>
                <w:rFonts w:hint="eastAsia" w:asciiTheme="minorHAnsi" w:hAnsiTheme="minorHAnsi" w:eastAsiaTheme="minorEastAsia" w:cstheme="minorBidi"/>
                <w:b/>
                <w:bCs/>
                <w:color w:val="000000"/>
                <w:szCs w:val="22"/>
              </w:rPr>
            </w:pPr>
            <w:r>
              <w:rPr>
                <w:rFonts w:hint="eastAsia" w:asciiTheme="minorHAnsi" w:hAnsiTheme="minorHAnsi" w:eastAsiaTheme="minorEastAsia" w:cstheme="minorBidi"/>
                <w:b/>
                <w:bCs/>
                <w:color w:val="000000"/>
                <w:szCs w:val="22"/>
              </w:rPr>
              <w:t>三、本年度办理结果</w:t>
            </w:r>
          </w:p>
        </w:tc>
        <w:tc>
          <w:tcPr>
            <w:tcW w:w="2883" w:type="dxa"/>
            <w:gridSpan w:val="2"/>
            <w:tcBorders>
              <w:top w:val="single" w:color="4F81BD" w:sz="8" w:space="0"/>
              <w:left w:val="single" w:color="4F81BD" w:sz="8" w:space="0"/>
              <w:bottom w:val="single" w:color="4F81BD" w:sz="8" w:space="0"/>
              <w:right w:val="single" w:color="4F81BD" w:sz="8" w:space="0"/>
            </w:tcBorders>
            <w:shd w:val="clear" w:color="auto" w:fill="B8CCE4"/>
          </w:tcPr>
          <w:p>
            <w:pPr>
              <w:rPr>
                <w:rFonts w:asciiTheme="minorEastAsia" w:hAnsiTheme="minorEastAsia" w:eastAsiaTheme="minorEastAsia" w:cstheme="minorBidi"/>
                <w:b/>
                <w:bCs/>
                <w:color w:val="000000"/>
                <w:sz w:val="18"/>
                <w:szCs w:val="18"/>
              </w:rPr>
            </w:pPr>
            <w:r>
              <w:rPr>
                <w:rFonts w:hint="eastAsia" w:asciiTheme="minorEastAsia" w:hAnsiTheme="minorEastAsia" w:eastAsiaTheme="minorEastAsia" w:cstheme="minorBidi"/>
                <w:b/>
                <w:bCs/>
                <w:color w:val="000000"/>
                <w:sz w:val="18"/>
                <w:szCs w:val="18"/>
              </w:rPr>
              <w:t>（一）予以公开</w:t>
            </w:r>
          </w:p>
        </w:tc>
        <w:tc>
          <w:tcPr>
            <w:tcW w:w="91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862</w:t>
            </w:r>
          </w:p>
        </w:tc>
        <w:tc>
          <w:tcPr>
            <w:tcW w:w="830"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27</w:t>
            </w:r>
          </w:p>
        </w:tc>
        <w:tc>
          <w:tcPr>
            <w:tcW w:w="65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16</w:t>
            </w:r>
          </w:p>
        </w:tc>
        <w:tc>
          <w:tcPr>
            <w:tcW w:w="691"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4</w:t>
            </w:r>
          </w:p>
        </w:tc>
        <w:tc>
          <w:tcPr>
            <w:tcW w:w="658"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1</w:t>
            </w:r>
          </w:p>
        </w:tc>
        <w:tc>
          <w:tcPr>
            <w:tcW w:w="71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86"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566" w:type="dxa"/>
            <w:vMerge w:val="continue"/>
            <w:tcBorders>
              <w:top w:val="single" w:color="4F81BD" w:sz="8" w:space="0"/>
              <w:left w:val="single" w:color="4F81BD" w:sz="8" w:space="0"/>
              <w:bottom w:val="single" w:color="4F81BD" w:sz="8" w:space="0"/>
              <w:right w:val="single" w:color="4F81BD" w:sz="8" w:space="0"/>
            </w:tcBorders>
            <w:shd w:val="clear" w:color="auto" w:fill="FFFFFF"/>
          </w:tcPr>
          <w:p>
            <w:pPr>
              <w:rPr>
                <w:rFonts w:hint="eastAsia" w:asciiTheme="minorHAnsi" w:hAnsiTheme="minorHAnsi" w:eastAsiaTheme="minorEastAsia" w:cstheme="minorBidi"/>
                <w:b/>
                <w:bCs/>
                <w:color w:val="000000"/>
                <w:szCs w:val="22"/>
              </w:rPr>
            </w:pPr>
          </w:p>
        </w:tc>
        <w:tc>
          <w:tcPr>
            <w:tcW w:w="2883" w:type="dxa"/>
            <w:gridSpan w:val="2"/>
            <w:tcBorders>
              <w:top w:val="single" w:color="4F81BD" w:sz="8" w:space="0"/>
              <w:left w:val="single" w:color="4F81BD" w:sz="8" w:space="0"/>
              <w:bottom w:val="single" w:color="4F81BD" w:sz="8" w:space="0"/>
              <w:right w:val="single" w:color="4F81BD" w:sz="8" w:space="0"/>
            </w:tcBorders>
            <w:shd w:val="clear" w:color="auto" w:fill="FFFFFF"/>
          </w:tcPr>
          <w:p>
            <w:pPr>
              <w:rPr>
                <w:rFonts w:asciiTheme="minorEastAsia" w:hAnsiTheme="minorEastAsia" w:eastAsiaTheme="minorEastAsia" w:cstheme="minorBidi"/>
                <w:b/>
                <w:bCs/>
                <w:color w:val="000000"/>
                <w:sz w:val="18"/>
                <w:szCs w:val="18"/>
              </w:rPr>
            </w:pPr>
            <w:r>
              <w:rPr>
                <w:rFonts w:hint="eastAsia" w:asciiTheme="minorEastAsia" w:hAnsiTheme="minorEastAsia" w:eastAsiaTheme="minorEastAsia" w:cstheme="minorBidi"/>
                <w:b/>
                <w:bCs/>
                <w:color w:val="000000"/>
                <w:sz w:val="18"/>
                <w:szCs w:val="18"/>
              </w:rPr>
              <w:t>（二）部分公开（区分处理的，只计这一情形，不计其他情形）</w:t>
            </w:r>
          </w:p>
        </w:tc>
        <w:tc>
          <w:tcPr>
            <w:tcW w:w="91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81</w:t>
            </w:r>
          </w:p>
        </w:tc>
        <w:tc>
          <w:tcPr>
            <w:tcW w:w="83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1</w:t>
            </w:r>
          </w:p>
        </w:tc>
        <w:tc>
          <w:tcPr>
            <w:tcW w:w="65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91"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8"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1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86"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566" w:type="dxa"/>
            <w:vMerge w:val="continue"/>
            <w:tcBorders>
              <w:top w:val="single" w:color="4F81BD" w:sz="8" w:space="0"/>
              <w:left w:val="single" w:color="4F81BD" w:sz="8" w:space="0"/>
              <w:bottom w:val="single" w:color="4F81BD" w:sz="8" w:space="0"/>
              <w:right w:val="single" w:color="4F81BD" w:sz="8" w:space="0"/>
            </w:tcBorders>
            <w:shd w:val="clear" w:color="auto" w:fill="B8CCE4"/>
          </w:tcPr>
          <w:p>
            <w:pPr>
              <w:rPr>
                <w:rFonts w:hint="eastAsia" w:asciiTheme="minorHAnsi" w:hAnsiTheme="minorHAnsi" w:eastAsiaTheme="minorEastAsia" w:cstheme="minorBidi"/>
                <w:b/>
                <w:bCs/>
                <w:color w:val="000000"/>
                <w:szCs w:val="22"/>
              </w:rPr>
            </w:pPr>
          </w:p>
        </w:tc>
        <w:tc>
          <w:tcPr>
            <w:tcW w:w="817" w:type="dxa"/>
            <w:vMerge w:val="restart"/>
            <w:tcBorders>
              <w:top w:val="single" w:color="4F81BD" w:sz="8" w:space="0"/>
              <w:left w:val="single" w:color="4F81BD" w:sz="8" w:space="0"/>
              <w:bottom w:val="single" w:color="4F81BD" w:sz="8" w:space="0"/>
              <w:right w:val="single" w:color="4F81BD" w:sz="8" w:space="0"/>
            </w:tcBorders>
            <w:shd w:val="clear" w:color="auto" w:fill="B8CCE4"/>
            <w:vAlign w:val="center"/>
          </w:tcPr>
          <w:p>
            <w:pPr>
              <w:rPr>
                <w:rFonts w:asciiTheme="minorEastAsia" w:hAnsiTheme="minorEastAsia" w:eastAsiaTheme="minorEastAsia" w:cstheme="minorBidi"/>
                <w:b/>
                <w:bCs/>
                <w:color w:val="000000"/>
                <w:sz w:val="18"/>
                <w:szCs w:val="18"/>
              </w:rPr>
            </w:pPr>
            <w:r>
              <w:rPr>
                <w:rFonts w:hint="eastAsia" w:asciiTheme="minorEastAsia" w:hAnsiTheme="minorEastAsia" w:eastAsiaTheme="minorEastAsia" w:cstheme="minorBidi"/>
                <w:b/>
                <w:bCs/>
                <w:color w:val="000000"/>
                <w:sz w:val="18"/>
                <w:szCs w:val="18"/>
              </w:rPr>
              <w:t>（三）不予公开</w:t>
            </w:r>
          </w:p>
        </w:tc>
        <w:tc>
          <w:tcPr>
            <w:tcW w:w="2066" w:type="dxa"/>
            <w:tcBorders>
              <w:top w:val="single" w:color="4F81BD" w:sz="8" w:space="0"/>
              <w:left w:val="single" w:color="4F81BD" w:sz="8" w:space="0"/>
              <w:bottom w:val="single" w:color="4F81BD" w:sz="8" w:space="0"/>
              <w:right w:val="single" w:color="4F81BD" w:sz="8" w:space="0"/>
            </w:tcBorders>
            <w:shd w:val="clear" w:color="auto" w:fill="B8CCE4"/>
          </w:tcPr>
          <w:p>
            <w:pPr>
              <w:rPr>
                <w:rFonts w:asciiTheme="minorEastAsia" w:hAnsiTheme="minorEastAsia" w:eastAsiaTheme="minorEastAsia" w:cstheme="minorBidi"/>
                <w:b/>
                <w:bCs/>
                <w:color w:val="000000"/>
                <w:sz w:val="18"/>
                <w:szCs w:val="18"/>
              </w:rPr>
            </w:pPr>
            <w:r>
              <w:rPr>
                <w:rFonts w:asciiTheme="minorEastAsia" w:hAnsiTheme="minorEastAsia" w:eastAsiaTheme="minorEastAsia" w:cstheme="minorBidi"/>
                <w:b/>
                <w:bCs/>
                <w:color w:val="000000"/>
                <w:sz w:val="18"/>
                <w:szCs w:val="18"/>
              </w:rPr>
              <w:t>1</w:t>
            </w:r>
            <w:r>
              <w:rPr>
                <w:rFonts w:hint="eastAsia" w:asciiTheme="minorEastAsia" w:hAnsiTheme="minorEastAsia" w:eastAsiaTheme="minorEastAsia" w:cstheme="minorBidi"/>
                <w:b/>
                <w:bCs/>
                <w:color w:val="000000"/>
                <w:sz w:val="18"/>
                <w:szCs w:val="18"/>
              </w:rPr>
              <w:t>．属于国家秘密</w:t>
            </w:r>
          </w:p>
        </w:tc>
        <w:tc>
          <w:tcPr>
            <w:tcW w:w="91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2</w:t>
            </w:r>
          </w:p>
        </w:tc>
        <w:tc>
          <w:tcPr>
            <w:tcW w:w="830"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91"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8"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1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86"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6" w:type="dxa"/>
            <w:vMerge w:val="continue"/>
            <w:tcBorders>
              <w:top w:val="single" w:color="4F81BD" w:sz="8" w:space="0"/>
              <w:left w:val="single" w:color="4F81BD" w:sz="8" w:space="0"/>
              <w:bottom w:val="single" w:color="4F81BD" w:sz="8" w:space="0"/>
              <w:right w:val="single" w:color="4F81BD" w:sz="8" w:space="0"/>
            </w:tcBorders>
            <w:shd w:val="clear" w:color="auto" w:fill="FFFFFF"/>
          </w:tcPr>
          <w:p>
            <w:pPr>
              <w:rPr>
                <w:rFonts w:hint="eastAsia" w:asciiTheme="minorHAnsi" w:hAnsiTheme="minorHAnsi" w:eastAsiaTheme="minorEastAsia" w:cstheme="minorBidi"/>
                <w:b/>
                <w:bCs/>
                <w:color w:val="000000"/>
                <w:szCs w:val="22"/>
              </w:rPr>
            </w:pPr>
          </w:p>
        </w:tc>
        <w:tc>
          <w:tcPr>
            <w:tcW w:w="817"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rPr>
                <w:rFonts w:asciiTheme="minorEastAsia" w:hAnsiTheme="minorEastAsia" w:eastAsiaTheme="minorEastAsia" w:cstheme="minorBidi"/>
                <w:b/>
                <w:bCs/>
                <w:color w:val="000000"/>
                <w:sz w:val="18"/>
                <w:szCs w:val="18"/>
              </w:rPr>
            </w:pPr>
          </w:p>
        </w:tc>
        <w:tc>
          <w:tcPr>
            <w:tcW w:w="2066" w:type="dxa"/>
            <w:tcBorders>
              <w:top w:val="single" w:color="4F81BD" w:sz="8" w:space="0"/>
              <w:left w:val="single" w:color="4F81BD" w:sz="8" w:space="0"/>
              <w:bottom w:val="single" w:color="4F81BD" w:sz="8" w:space="0"/>
              <w:right w:val="single" w:color="4F81BD" w:sz="8" w:space="0"/>
            </w:tcBorders>
            <w:shd w:val="clear" w:color="auto" w:fill="FFFFFF"/>
          </w:tcPr>
          <w:p>
            <w:pPr>
              <w:rPr>
                <w:rFonts w:asciiTheme="minorEastAsia" w:hAnsiTheme="minorEastAsia" w:eastAsiaTheme="minorEastAsia" w:cstheme="minorBidi"/>
                <w:b/>
                <w:bCs/>
                <w:color w:val="000000"/>
                <w:sz w:val="18"/>
                <w:szCs w:val="18"/>
              </w:rPr>
            </w:pPr>
            <w:r>
              <w:rPr>
                <w:rFonts w:hint="eastAsia" w:asciiTheme="minorEastAsia" w:hAnsiTheme="minorEastAsia" w:eastAsiaTheme="minorEastAsia" w:cstheme="minorBidi"/>
                <w:b/>
                <w:bCs/>
                <w:color w:val="000000"/>
                <w:sz w:val="18"/>
                <w:szCs w:val="18"/>
              </w:rPr>
              <w:t>2．其他法律行政法规禁止公开</w:t>
            </w:r>
          </w:p>
        </w:tc>
        <w:tc>
          <w:tcPr>
            <w:tcW w:w="91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4</w:t>
            </w:r>
          </w:p>
        </w:tc>
        <w:tc>
          <w:tcPr>
            <w:tcW w:w="83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91"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8"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1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86"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66" w:type="dxa"/>
            <w:vMerge w:val="continue"/>
            <w:tcBorders>
              <w:top w:val="single" w:color="4F81BD" w:sz="8" w:space="0"/>
              <w:left w:val="single" w:color="4F81BD" w:sz="8" w:space="0"/>
              <w:bottom w:val="single" w:color="4F81BD" w:sz="8" w:space="0"/>
              <w:right w:val="single" w:color="4F81BD" w:sz="8" w:space="0"/>
            </w:tcBorders>
            <w:shd w:val="clear" w:color="auto" w:fill="B8CCE4"/>
          </w:tcPr>
          <w:p>
            <w:pPr>
              <w:rPr>
                <w:rFonts w:hint="eastAsia" w:asciiTheme="minorHAnsi" w:hAnsiTheme="minorHAnsi" w:eastAsiaTheme="minorEastAsia" w:cstheme="minorBidi"/>
                <w:b/>
                <w:bCs/>
                <w:color w:val="000000"/>
                <w:szCs w:val="22"/>
              </w:rPr>
            </w:pPr>
          </w:p>
        </w:tc>
        <w:tc>
          <w:tcPr>
            <w:tcW w:w="817" w:type="dxa"/>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rPr>
                <w:rFonts w:hint="eastAsia" w:asciiTheme="minorHAnsi" w:hAnsiTheme="minorHAnsi" w:eastAsiaTheme="minorEastAsia" w:cstheme="minorBidi"/>
                <w:b/>
                <w:bCs/>
                <w:color w:val="000000"/>
                <w:sz w:val="18"/>
                <w:szCs w:val="18"/>
              </w:rPr>
            </w:pPr>
          </w:p>
        </w:tc>
        <w:tc>
          <w:tcPr>
            <w:tcW w:w="2066" w:type="dxa"/>
            <w:tcBorders>
              <w:top w:val="single" w:color="4F81BD" w:sz="8" w:space="0"/>
              <w:left w:val="single" w:color="4F81BD" w:sz="8" w:space="0"/>
              <w:bottom w:val="single" w:color="4F81BD" w:sz="8" w:space="0"/>
              <w:right w:val="single" w:color="4F81BD" w:sz="8" w:space="0"/>
            </w:tcBorders>
            <w:shd w:val="clear" w:color="auto" w:fill="B8CCE4"/>
          </w:tcPr>
          <w:p>
            <w:pPr>
              <w:rPr>
                <w:rFonts w:asciiTheme="minorEastAsia" w:hAnsiTheme="minorEastAsia" w:eastAsiaTheme="minorEastAsia" w:cstheme="minorBidi"/>
                <w:b/>
                <w:bCs/>
                <w:color w:val="000000"/>
                <w:sz w:val="18"/>
                <w:szCs w:val="18"/>
              </w:rPr>
            </w:pPr>
            <w:r>
              <w:rPr>
                <w:rFonts w:hint="eastAsia" w:asciiTheme="minorEastAsia" w:hAnsiTheme="minorEastAsia" w:eastAsiaTheme="minorEastAsia" w:cstheme="minorBidi"/>
                <w:b/>
                <w:bCs/>
                <w:color w:val="000000"/>
                <w:sz w:val="18"/>
                <w:szCs w:val="18"/>
              </w:rPr>
              <w:t>3．危及“三安全一稳定”</w:t>
            </w:r>
          </w:p>
        </w:tc>
        <w:tc>
          <w:tcPr>
            <w:tcW w:w="91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830"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91"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8"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1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86"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566" w:type="dxa"/>
            <w:vMerge w:val="continue"/>
            <w:tcBorders>
              <w:top w:val="single" w:color="4F81BD" w:sz="8" w:space="0"/>
              <w:left w:val="single" w:color="4F81BD" w:sz="8" w:space="0"/>
              <w:bottom w:val="single" w:color="4F81BD" w:sz="8" w:space="0"/>
              <w:right w:val="single" w:color="4F81BD" w:sz="8" w:space="0"/>
            </w:tcBorders>
            <w:shd w:val="clear" w:color="auto" w:fill="FFFFFF"/>
          </w:tcPr>
          <w:p>
            <w:pPr>
              <w:rPr>
                <w:rFonts w:hint="eastAsia" w:asciiTheme="minorHAnsi" w:hAnsiTheme="minorHAnsi" w:eastAsiaTheme="minorEastAsia" w:cstheme="minorBidi"/>
                <w:b/>
                <w:bCs/>
                <w:color w:val="000000"/>
                <w:szCs w:val="22"/>
              </w:rPr>
            </w:pPr>
          </w:p>
        </w:tc>
        <w:tc>
          <w:tcPr>
            <w:tcW w:w="817"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rPr>
                <w:rFonts w:hint="eastAsia" w:asciiTheme="minorHAnsi" w:hAnsiTheme="minorHAnsi" w:eastAsiaTheme="minorEastAsia" w:cstheme="minorBidi"/>
                <w:b/>
                <w:bCs/>
                <w:color w:val="000000"/>
                <w:sz w:val="18"/>
                <w:szCs w:val="18"/>
              </w:rPr>
            </w:pPr>
          </w:p>
        </w:tc>
        <w:tc>
          <w:tcPr>
            <w:tcW w:w="2066" w:type="dxa"/>
            <w:tcBorders>
              <w:top w:val="single" w:color="4F81BD" w:sz="8" w:space="0"/>
              <w:left w:val="single" w:color="4F81BD" w:sz="8" w:space="0"/>
              <w:bottom w:val="single" w:color="4F81BD" w:sz="8" w:space="0"/>
              <w:right w:val="single" w:color="4F81BD" w:sz="8" w:space="0"/>
            </w:tcBorders>
            <w:shd w:val="clear" w:color="auto" w:fill="FFFFFF"/>
          </w:tcPr>
          <w:p>
            <w:pPr>
              <w:rPr>
                <w:rFonts w:asciiTheme="minorEastAsia" w:hAnsiTheme="minorEastAsia" w:eastAsiaTheme="minorEastAsia" w:cstheme="minorBidi"/>
                <w:b/>
                <w:bCs/>
                <w:color w:val="000000"/>
                <w:sz w:val="18"/>
                <w:szCs w:val="18"/>
              </w:rPr>
            </w:pPr>
            <w:r>
              <w:rPr>
                <w:rFonts w:hint="eastAsia" w:asciiTheme="minorEastAsia" w:hAnsiTheme="minorEastAsia" w:eastAsiaTheme="minorEastAsia" w:cstheme="minorBidi"/>
                <w:b/>
                <w:bCs/>
                <w:color w:val="000000"/>
                <w:sz w:val="18"/>
                <w:szCs w:val="18"/>
              </w:rPr>
              <w:t>4．保护第三方合法权益</w:t>
            </w:r>
          </w:p>
        </w:tc>
        <w:tc>
          <w:tcPr>
            <w:tcW w:w="91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8</w:t>
            </w:r>
          </w:p>
        </w:tc>
        <w:tc>
          <w:tcPr>
            <w:tcW w:w="83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91"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8"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1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86"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66" w:type="dxa"/>
            <w:vMerge w:val="continue"/>
            <w:tcBorders>
              <w:top w:val="single" w:color="4F81BD" w:sz="8" w:space="0"/>
              <w:left w:val="single" w:color="4F81BD" w:sz="8" w:space="0"/>
              <w:bottom w:val="single" w:color="4F81BD" w:sz="8" w:space="0"/>
              <w:right w:val="single" w:color="4F81BD" w:sz="8" w:space="0"/>
            </w:tcBorders>
            <w:shd w:val="clear" w:color="auto" w:fill="B8CCE4"/>
          </w:tcPr>
          <w:p>
            <w:pPr>
              <w:rPr>
                <w:rFonts w:hint="eastAsia" w:asciiTheme="minorHAnsi" w:hAnsiTheme="minorHAnsi" w:eastAsiaTheme="minorEastAsia" w:cstheme="minorBidi"/>
                <w:b/>
                <w:bCs/>
                <w:color w:val="000000"/>
                <w:szCs w:val="22"/>
              </w:rPr>
            </w:pPr>
          </w:p>
        </w:tc>
        <w:tc>
          <w:tcPr>
            <w:tcW w:w="817" w:type="dxa"/>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rPr>
                <w:rFonts w:hint="eastAsia" w:asciiTheme="minorHAnsi" w:hAnsiTheme="minorHAnsi" w:eastAsiaTheme="minorEastAsia" w:cstheme="minorBidi"/>
                <w:b/>
                <w:bCs/>
                <w:color w:val="000000"/>
                <w:sz w:val="18"/>
                <w:szCs w:val="18"/>
              </w:rPr>
            </w:pPr>
          </w:p>
        </w:tc>
        <w:tc>
          <w:tcPr>
            <w:tcW w:w="2066" w:type="dxa"/>
            <w:tcBorders>
              <w:top w:val="single" w:color="4F81BD" w:sz="8" w:space="0"/>
              <w:left w:val="single" w:color="4F81BD" w:sz="8" w:space="0"/>
              <w:bottom w:val="single" w:color="4F81BD" w:sz="8" w:space="0"/>
              <w:right w:val="single" w:color="4F81BD" w:sz="8" w:space="0"/>
            </w:tcBorders>
            <w:shd w:val="clear" w:color="auto" w:fill="B8CCE4"/>
          </w:tcPr>
          <w:p>
            <w:pPr>
              <w:rPr>
                <w:rFonts w:asciiTheme="minorEastAsia" w:hAnsiTheme="minorEastAsia" w:eastAsiaTheme="minorEastAsia" w:cstheme="minorBidi"/>
                <w:b/>
                <w:bCs/>
                <w:color w:val="000000"/>
                <w:sz w:val="18"/>
                <w:szCs w:val="18"/>
              </w:rPr>
            </w:pPr>
            <w:r>
              <w:rPr>
                <w:rFonts w:hint="eastAsia" w:asciiTheme="minorEastAsia" w:hAnsiTheme="minorEastAsia" w:eastAsiaTheme="minorEastAsia" w:cstheme="minorBidi"/>
                <w:b/>
                <w:bCs/>
                <w:color w:val="000000"/>
                <w:sz w:val="18"/>
                <w:szCs w:val="18"/>
              </w:rPr>
              <w:t>5．属于三类内部事务信息</w:t>
            </w:r>
          </w:p>
        </w:tc>
        <w:tc>
          <w:tcPr>
            <w:tcW w:w="91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default" w:asciiTheme="minorHAnsi" w:hAnsiTheme="minorHAnsi" w:eastAsiaTheme="minorEastAsia" w:cstheme="minorBidi"/>
                <w:color w:val="000000"/>
                <w:szCs w:val="22"/>
                <w:lang w:val="en-US" w:eastAsia="zh-CN"/>
              </w:rPr>
            </w:pPr>
            <w:r>
              <w:rPr>
                <w:rFonts w:hint="eastAsia" w:ascii="宋体" w:hAnsi="宋体"/>
                <w:color w:val="000000"/>
                <w:sz w:val="24"/>
                <w:lang w:val="en-US" w:eastAsia="zh-CN"/>
              </w:rPr>
              <w:t>18</w:t>
            </w:r>
          </w:p>
        </w:tc>
        <w:tc>
          <w:tcPr>
            <w:tcW w:w="830"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lang w:val="en-US" w:eastAsia="zh-CN"/>
              </w:rPr>
            </w:pPr>
            <w:r>
              <w:rPr>
                <w:rFonts w:hint="eastAsia" w:ascii="宋体" w:hAnsi="宋体"/>
                <w:color w:val="000000"/>
                <w:sz w:val="24"/>
                <w:lang w:val="en-US" w:eastAsia="zh-CN"/>
              </w:rPr>
              <w:t>9</w:t>
            </w:r>
          </w:p>
        </w:tc>
        <w:tc>
          <w:tcPr>
            <w:tcW w:w="65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91"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8"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1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86"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66" w:type="dxa"/>
            <w:vMerge w:val="continue"/>
            <w:tcBorders>
              <w:top w:val="single" w:color="4F81BD" w:sz="8" w:space="0"/>
              <w:left w:val="single" w:color="4F81BD" w:sz="8" w:space="0"/>
              <w:bottom w:val="single" w:color="4F81BD" w:sz="8" w:space="0"/>
              <w:right w:val="single" w:color="4F81BD" w:sz="8" w:space="0"/>
            </w:tcBorders>
            <w:shd w:val="clear" w:color="auto" w:fill="FFFFFF"/>
          </w:tcPr>
          <w:p>
            <w:pPr>
              <w:rPr>
                <w:rFonts w:hint="eastAsia" w:asciiTheme="minorHAnsi" w:hAnsiTheme="minorHAnsi" w:eastAsiaTheme="minorEastAsia" w:cstheme="minorBidi"/>
                <w:b/>
                <w:bCs/>
                <w:color w:val="000000"/>
                <w:szCs w:val="22"/>
              </w:rPr>
            </w:pPr>
          </w:p>
        </w:tc>
        <w:tc>
          <w:tcPr>
            <w:tcW w:w="817"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rPr>
                <w:rFonts w:hint="eastAsia" w:asciiTheme="minorHAnsi" w:hAnsiTheme="minorHAnsi" w:eastAsiaTheme="minorEastAsia" w:cstheme="minorBidi"/>
                <w:b/>
                <w:bCs/>
                <w:color w:val="000000"/>
                <w:sz w:val="18"/>
                <w:szCs w:val="18"/>
              </w:rPr>
            </w:pPr>
          </w:p>
        </w:tc>
        <w:tc>
          <w:tcPr>
            <w:tcW w:w="2066" w:type="dxa"/>
            <w:tcBorders>
              <w:top w:val="single" w:color="4F81BD" w:sz="8" w:space="0"/>
              <w:left w:val="single" w:color="4F81BD" w:sz="8" w:space="0"/>
              <w:bottom w:val="single" w:color="4F81BD" w:sz="8" w:space="0"/>
              <w:right w:val="single" w:color="4F81BD" w:sz="8" w:space="0"/>
            </w:tcBorders>
            <w:shd w:val="clear" w:color="auto" w:fill="FFFFFF"/>
          </w:tcPr>
          <w:p>
            <w:pPr>
              <w:rPr>
                <w:rFonts w:asciiTheme="minorEastAsia" w:hAnsiTheme="minorEastAsia" w:eastAsiaTheme="minorEastAsia" w:cstheme="minorBidi"/>
                <w:b/>
                <w:bCs/>
                <w:color w:val="000000"/>
                <w:sz w:val="18"/>
                <w:szCs w:val="18"/>
              </w:rPr>
            </w:pPr>
            <w:r>
              <w:rPr>
                <w:rFonts w:hint="eastAsia" w:asciiTheme="minorEastAsia" w:hAnsiTheme="minorEastAsia" w:eastAsiaTheme="minorEastAsia" w:cstheme="minorBidi"/>
                <w:b/>
                <w:bCs/>
                <w:color w:val="000000"/>
                <w:sz w:val="18"/>
                <w:szCs w:val="18"/>
              </w:rPr>
              <w:t>6．属于四类过程性信息</w:t>
            </w:r>
          </w:p>
        </w:tc>
        <w:tc>
          <w:tcPr>
            <w:tcW w:w="91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13</w:t>
            </w:r>
          </w:p>
        </w:tc>
        <w:tc>
          <w:tcPr>
            <w:tcW w:w="83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91"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8"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1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86"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566" w:type="dxa"/>
            <w:vMerge w:val="continue"/>
            <w:tcBorders>
              <w:top w:val="single" w:color="4F81BD" w:sz="8" w:space="0"/>
              <w:left w:val="single" w:color="4F81BD" w:sz="8" w:space="0"/>
              <w:bottom w:val="single" w:color="4F81BD" w:sz="8" w:space="0"/>
              <w:right w:val="single" w:color="4F81BD" w:sz="8" w:space="0"/>
            </w:tcBorders>
            <w:shd w:val="clear" w:color="auto" w:fill="B8CCE4"/>
          </w:tcPr>
          <w:p>
            <w:pPr>
              <w:rPr>
                <w:rFonts w:hint="eastAsia" w:asciiTheme="minorHAnsi" w:hAnsiTheme="minorHAnsi" w:eastAsiaTheme="minorEastAsia" w:cstheme="minorBidi"/>
                <w:b/>
                <w:bCs/>
                <w:color w:val="000000"/>
                <w:szCs w:val="22"/>
              </w:rPr>
            </w:pPr>
          </w:p>
        </w:tc>
        <w:tc>
          <w:tcPr>
            <w:tcW w:w="817" w:type="dxa"/>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rPr>
                <w:rFonts w:hint="eastAsia" w:asciiTheme="minorHAnsi" w:hAnsiTheme="minorHAnsi" w:eastAsiaTheme="minorEastAsia" w:cstheme="minorBidi"/>
                <w:b/>
                <w:bCs/>
                <w:color w:val="000000"/>
                <w:sz w:val="18"/>
                <w:szCs w:val="18"/>
              </w:rPr>
            </w:pPr>
          </w:p>
        </w:tc>
        <w:tc>
          <w:tcPr>
            <w:tcW w:w="2066" w:type="dxa"/>
            <w:tcBorders>
              <w:top w:val="single" w:color="4F81BD" w:sz="8" w:space="0"/>
              <w:left w:val="single" w:color="4F81BD" w:sz="8" w:space="0"/>
              <w:bottom w:val="single" w:color="4F81BD" w:sz="8" w:space="0"/>
              <w:right w:val="single" w:color="4F81BD" w:sz="8" w:space="0"/>
            </w:tcBorders>
            <w:shd w:val="clear" w:color="auto" w:fill="B8CCE4"/>
          </w:tcPr>
          <w:p>
            <w:pPr>
              <w:rPr>
                <w:rFonts w:asciiTheme="minorEastAsia" w:hAnsiTheme="minorEastAsia" w:eastAsiaTheme="minorEastAsia" w:cstheme="minorBidi"/>
                <w:b/>
                <w:bCs/>
                <w:color w:val="000000"/>
                <w:sz w:val="18"/>
                <w:szCs w:val="18"/>
              </w:rPr>
            </w:pPr>
            <w:r>
              <w:rPr>
                <w:rFonts w:hint="eastAsia" w:asciiTheme="minorEastAsia" w:hAnsiTheme="minorEastAsia" w:eastAsiaTheme="minorEastAsia" w:cstheme="minorBidi"/>
                <w:b/>
                <w:bCs/>
                <w:color w:val="000000"/>
                <w:sz w:val="18"/>
                <w:szCs w:val="18"/>
              </w:rPr>
              <w:t>7．属于行政执法案卷</w:t>
            </w:r>
          </w:p>
        </w:tc>
        <w:tc>
          <w:tcPr>
            <w:tcW w:w="91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8</w:t>
            </w:r>
          </w:p>
        </w:tc>
        <w:tc>
          <w:tcPr>
            <w:tcW w:w="830"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91"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8"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1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86"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566" w:type="dxa"/>
            <w:vMerge w:val="continue"/>
            <w:tcBorders>
              <w:top w:val="single" w:color="4F81BD" w:sz="8" w:space="0"/>
              <w:left w:val="single" w:color="4F81BD" w:sz="8" w:space="0"/>
              <w:bottom w:val="single" w:color="4F81BD" w:sz="8" w:space="0"/>
              <w:right w:val="single" w:color="4F81BD" w:sz="8" w:space="0"/>
            </w:tcBorders>
            <w:shd w:val="clear" w:color="auto" w:fill="FFFFFF"/>
          </w:tcPr>
          <w:p>
            <w:pPr>
              <w:rPr>
                <w:rFonts w:hint="eastAsia" w:asciiTheme="minorHAnsi" w:hAnsiTheme="minorHAnsi" w:eastAsiaTheme="minorEastAsia" w:cstheme="minorBidi"/>
                <w:b/>
                <w:bCs/>
                <w:color w:val="000000"/>
                <w:szCs w:val="22"/>
              </w:rPr>
            </w:pPr>
          </w:p>
        </w:tc>
        <w:tc>
          <w:tcPr>
            <w:tcW w:w="817"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rPr>
                <w:rFonts w:hint="eastAsia" w:asciiTheme="minorHAnsi" w:hAnsiTheme="minorHAnsi" w:eastAsiaTheme="minorEastAsia" w:cstheme="minorBidi"/>
                <w:b/>
                <w:bCs/>
                <w:color w:val="000000"/>
                <w:sz w:val="18"/>
                <w:szCs w:val="18"/>
              </w:rPr>
            </w:pPr>
          </w:p>
        </w:tc>
        <w:tc>
          <w:tcPr>
            <w:tcW w:w="2066" w:type="dxa"/>
            <w:tcBorders>
              <w:top w:val="single" w:color="4F81BD" w:sz="8" w:space="0"/>
              <w:left w:val="single" w:color="4F81BD" w:sz="8" w:space="0"/>
              <w:bottom w:val="single" w:color="4F81BD" w:sz="8" w:space="0"/>
              <w:right w:val="single" w:color="4F81BD" w:sz="8" w:space="0"/>
            </w:tcBorders>
            <w:shd w:val="clear" w:color="auto" w:fill="FFFFFF"/>
          </w:tcPr>
          <w:p>
            <w:pPr>
              <w:rPr>
                <w:rFonts w:asciiTheme="minorEastAsia" w:hAnsiTheme="minorEastAsia" w:eastAsiaTheme="minorEastAsia" w:cstheme="minorBidi"/>
                <w:b/>
                <w:bCs/>
                <w:color w:val="000000"/>
                <w:sz w:val="18"/>
                <w:szCs w:val="18"/>
              </w:rPr>
            </w:pPr>
            <w:r>
              <w:rPr>
                <w:rFonts w:hint="eastAsia" w:asciiTheme="minorEastAsia" w:hAnsiTheme="minorEastAsia" w:eastAsiaTheme="minorEastAsia" w:cstheme="minorBidi"/>
                <w:b/>
                <w:bCs/>
                <w:color w:val="000000"/>
                <w:sz w:val="18"/>
                <w:szCs w:val="18"/>
              </w:rPr>
              <w:t>8．属于行政查询事项</w:t>
            </w:r>
          </w:p>
        </w:tc>
        <w:tc>
          <w:tcPr>
            <w:tcW w:w="91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1</w:t>
            </w:r>
          </w:p>
        </w:tc>
        <w:tc>
          <w:tcPr>
            <w:tcW w:w="83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91"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8"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1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86"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566" w:type="dxa"/>
            <w:vMerge w:val="continue"/>
            <w:tcBorders>
              <w:top w:val="single" w:color="4F81BD" w:sz="8" w:space="0"/>
              <w:left w:val="single" w:color="4F81BD" w:sz="8" w:space="0"/>
              <w:bottom w:val="single" w:color="4F81BD" w:sz="8" w:space="0"/>
              <w:right w:val="single" w:color="4F81BD" w:sz="8" w:space="0"/>
            </w:tcBorders>
            <w:shd w:val="clear" w:color="auto" w:fill="B8CCE4"/>
          </w:tcPr>
          <w:p>
            <w:pPr>
              <w:rPr>
                <w:rFonts w:hint="eastAsia" w:asciiTheme="minorHAnsi" w:hAnsiTheme="minorHAnsi" w:eastAsiaTheme="minorEastAsia" w:cstheme="minorBidi"/>
                <w:b/>
                <w:bCs/>
                <w:color w:val="000000"/>
                <w:szCs w:val="22"/>
              </w:rPr>
            </w:pPr>
          </w:p>
        </w:tc>
        <w:tc>
          <w:tcPr>
            <w:tcW w:w="817" w:type="dxa"/>
            <w:vMerge w:val="restart"/>
            <w:tcBorders>
              <w:top w:val="single" w:color="4F81BD" w:sz="8" w:space="0"/>
              <w:left w:val="single" w:color="4F81BD" w:sz="8" w:space="0"/>
              <w:bottom w:val="single" w:color="4F81BD" w:sz="8" w:space="0"/>
              <w:right w:val="single" w:color="4F81BD" w:sz="8" w:space="0"/>
            </w:tcBorders>
            <w:shd w:val="clear" w:color="auto" w:fill="B8CCE4"/>
            <w:vAlign w:val="center"/>
          </w:tcPr>
          <w:p>
            <w:pPr>
              <w:rPr>
                <w:rFonts w:hint="eastAsia" w:asciiTheme="minorHAnsi" w:hAnsiTheme="minorHAnsi" w:eastAsiaTheme="minorEastAsia" w:cstheme="minorBidi"/>
                <w:b/>
                <w:bCs/>
                <w:color w:val="000000"/>
                <w:sz w:val="18"/>
                <w:szCs w:val="18"/>
              </w:rPr>
            </w:pPr>
            <w:r>
              <w:rPr>
                <w:rFonts w:hint="eastAsia" w:asciiTheme="minorHAnsi" w:hAnsiTheme="minorHAnsi" w:eastAsiaTheme="minorEastAsia" w:cstheme="minorBidi"/>
                <w:b/>
                <w:bCs/>
                <w:color w:val="000000"/>
                <w:sz w:val="18"/>
                <w:szCs w:val="18"/>
              </w:rPr>
              <w:t>（四）无法提供</w:t>
            </w:r>
          </w:p>
        </w:tc>
        <w:tc>
          <w:tcPr>
            <w:tcW w:w="2066" w:type="dxa"/>
            <w:tcBorders>
              <w:top w:val="single" w:color="4F81BD" w:sz="8" w:space="0"/>
              <w:left w:val="single" w:color="4F81BD" w:sz="8" w:space="0"/>
              <w:bottom w:val="single" w:color="4F81BD" w:sz="8" w:space="0"/>
              <w:right w:val="single" w:color="4F81BD" w:sz="8" w:space="0"/>
            </w:tcBorders>
            <w:shd w:val="clear" w:color="auto" w:fill="B8CCE4"/>
          </w:tcPr>
          <w:p>
            <w:pPr>
              <w:rPr>
                <w:rFonts w:asciiTheme="minorEastAsia" w:hAnsiTheme="minorEastAsia" w:eastAsiaTheme="minorEastAsia" w:cstheme="minorBidi"/>
                <w:b/>
                <w:bCs/>
                <w:color w:val="000000"/>
                <w:sz w:val="18"/>
                <w:szCs w:val="18"/>
              </w:rPr>
            </w:pPr>
            <w:r>
              <w:rPr>
                <w:rFonts w:hint="eastAsia" w:asciiTheme="minorEastAsia" w:hAnsiTheme="minorEastAsia" w:eastAsiaTheme="minorEastAsia" w:cstheme="minorBidi"/>
                <w:b/>
                <w:bCs/>
                <w:color w:val="000000"/>
                <w:sz w:val="18"/>
                <w:szCs w:val="18"/>
              </w:rPr>
              <w:t>1．本机关不掌握相关政府信息</w:t>
            </w:r>
          </w:p>
        </w:tc>
        <w:tc>
          <w:tcPr>
            <w:tcW w:w="91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default" w:asciiTheme="minorHAnsi" w:hAnsiTheme="minorHAnsi" w:eastAsiaTheme="minorEastAsia" w:cstheme="minorBidi"/>
                <w:color w:val="000000"/>
                <w:szCs w:val="22"/>
                <w:lang w:val="en-US" w:eastAsia="zh-CN"/>
              </w:rPr>
            </w:pPr>
            <w:r>
              <w:rPr>
                <w:rFonts w:hint="eastAsia" w:ascii="宋体" w:hAnsi="宋体"/>
                <w:color w:val="000000"/>
                <w:sz w:val="24"/>
              </w:rPr>
              <w:t>2</w:t>
            </w:r>
            <w:r>
              <w:rPr>
                <w:rFonts w:hint="eastAsia" w:ascii="宋体" w:hAnsi="宋体"/>
                <w:color w:val="000000"/>
                <w:sz w:val="24"/>
                <w:lang w:val="en-US" w:eastAsia="zh-CN"/>
              </w:rPr>
              <w:t>29</w:t>
            </w:r>
          </w:p>
        </w:tc>
        <w:tc>
          <w:tcPr>
            <w:tcW w:w="830"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default" w:asciiTheme="minorHAnsi" w:hAnsiTheme="minorHAnsi" w:eastAsiaTheme="minorEastAsia" w:cstheme="minorBidi"/>
                <w:color w:val="000000"/>
                <w:szCs w:val="22"/>
                <w:lang w:val="en-US" w:eastAsia="zh-CN"/>
              </w:rPr>
            </w:pPr>
            <w:r>
              <w:rPr>
                <w:rFonts w:hint="eastAsia" w:ascii="宋体" w:hAnsi="宋体"/>
                <w:color w:val="000000"/>
                <w:sz w:val="24"/>
                <w:lang w:val="en-US" w:eastAsia="zh-CN"/>
              </w:rPr>
              <w:t>13</w:t>
            </w:r>
          </w:p>
        </w:tc>
        <w:tc>
          <w:tcPr>
            <w:tcW w:w="65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1</w:t>
            </w:r>
          </w:p>
        </w:tc>
        <w:tc>
          <w:tcPr>
            <w:tcW w:w="691"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1</w:t>
            </w:r>
          </w:p>
        </w:tc>
        <w:tc>
          <w:tcPr>
            <w:tcW w:w="658"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1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1</w:t>
            </w:r>
          </w:p>
        </w:tc>
        <w:tc>
          <w:tcPr>
            <w:tcW w:w="786"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566" w:type="dxa"/>
            <w:vMerge w:val="continue"/>
            <w:tcBorders>
              <w:top w:val="single" w:color="4F81BD" w:sz="8" w:space="0"/>
              <w:left w:val="single" w:color="4F81BD" w:sz="8" w:space="0"/>
              <w:bottom w:val="single" w:color="4F81BD" w:sz="8" w:space="0"/>
              <w:right w:val="single" w:color="4F81BD" w:sz="8" w:space="0"/>
            </w:tcBorders>
            <w:shd w:val="clear" w:color="auto" w:fill="FFFFFF"/>
          </w:tcPr>
          <w:p>
            <w:pPr>
              <w:rPr>
                <w:rFonts w:hint="eastAsia" w:asciiTheme="minorHAnsi" w:hAnsiTheme="minorHAnsi" w:eastAsiaTheme="minorEastAsia" w:cstheme="minorBidi"/>
                <w:b/>
                <w:bCs/>
                <w:color w:val="000000"/>
                <w:szCs w:val="22"/>
              </w:rPr>
            </w:pPr>
          </w:p>
        </w:tc>
        <w:tc>
          <w:tcPr>
            <w:tcW w:w="817"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rPr>
                <w:rFonts w:hint="eastAsia" w:asciiTheme="minorHAnsi" w:hAnsiTheme="minorHAnsi" w:eastAsiaTheme="minorEastAsia" w:cstheme="minorBidi"/>
                <w:b/>
                <w:bCs/>
                <w:color w:val="000000"/>
                <w:sz w:val="18"/>
                <w:szCs w:val="18"/>
              </w:rPr>
            </w:pPr>
          </w:p>
        </w:tc>
        <w:tc>
          <w:tcPr>
            <w:tcW w:w="2066" w:type="dxa"/>
            <w:tcBorders>
              <w:top w:val="single" w:color="4F81BD" w:sz="8" w:space="0"/>
              <w:left w:val="single" w:color="4F81BD" w:sz="8" w:space="0"/>
              <w:bottom w:val="single" w:color="4F81BD" w:sz="8" w:space="0"/>
              <w:right w:val="single" w:color="4F81BD" w:sz="8" w:space="0"/>
            </w:tcBorders>
            <w:shd w:val="clear" w:color="auto" w:fill="FFFFFF"/>
          </w:tcPr>
          <w:p>
            <w:pPr>
              <w:rPr>
                <w:rFonts w:asciiTheme="minorEastAsia" w:hAnsiTheme="minorEastAsia" w:eastAsiaTheme="minorEastAsia" w:cstheme="minorBidi"/>
                <w:b/>
                <w:bCs/>
                <w:color w:val="000000"/>
                <w:sz w:val="18"/>
                <w:szCs w:val="18"/>
              </w:rPr>
            </w:pPr>
            <w:r>
              <w:rPr>
                <w:rFonts w:hint="eastAsia" w:asciiTheme="minorEastAsia" w:hAnsiTheme="minorEastAsia" w:eastAsiaTheme="minorEastAsia" w:cstheme="minorBidi"/>
                <w:b/>
                <w:bCs/>
                <w:color w:val="000000"/>
                <w:sz w:val="18"/>
                <w:szCs w:val="18"/>
              </w:rPr>
              <w:t>2．没有现成信息需要另行制作</w:t>
            </w:r>
          </w:p>
        </w:tc>
        <w:tc>
          <w:tcPr>
            <w:tcW w:w="91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16</w:t>
            </w:r>
          </w:p>
        </w:tc>
        <w:tc>
          <w:tcPr>
            <w:tcW w:w="83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91"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8"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1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86"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566" w:type="dxa"/>
            <w:vMerge w:val="continue"/>
            <w:tcBorders>
              <w:top w:val="single" w:color="4F81BD" w:sz="8" w:space="0"/>
              <w:left w:val="single" w:color="4F81BD" w:sz="8" w:space="0"/>
              <w:bottom w:val="single" w:color="4F81BD" w:sz="8" w:space="0"/>
              <w:right w:val="single" w:color="4F81BD" w:sz="8" w:space="0"/>
            </w:tcBorders>
            <w:shd w:val="clear" w:color="auto" w:fill="B8CCE4"/>
          </w:tcPr>
          <w:p>
            <w:pPr>
              <w:rPr>
                <w:rFonts w:hint="eastAsia" w:asciiTheme="minorHAnsi" w:hAnsiTheme="minorHAnsi" w:eastAsiaTheme="minorEastAsia" w:cstheme="minorBidi"/>
                <w:b/>
                <w:bCs/>
                <w:color w:val="000000"/>
                <w:szCs w:val="22"/>
              </w:rPr>
            </w:pPr>
          </w:p>
        </w:tc>
        <w:tc>
          <w:tcPr>
            <w:tcW w:w="817" w:type="dxa"/>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rPr>
                <w:rFonts w:hint="eastAsia" w:asciiTheme="minorHAnsi" w:hAnsiTheme="minorHAnsi" w:eastAsiaTheme="minorEastAsia" w:cstheme="minorBidi"/>
                <w:b/>
                <w:bCs/>
                <w:color w:val="000000"/>
                <w:sz w:val="18"/>
                <w:szCs w:val="18"/>
              </w:rPr>
            </w:pPr>
          </w:p>
        </w:tc>
        <w:tc>
          <w:tcPr>
            <w:tcW w:w="2066" w:type="dxa"/>
            <w:tcBorders>
              <w:top w:val="single" w:color="4F81BD" w:sz="8" w:space="0"/>
              <w:left w:val="single" w:color="4F81BD" w:sz="8" w:space="0"/>
              <w:bottom w:val="single" w:color="4F81BD" w:sz="8" w:space="0"/>
              <w:right w:val="single" w:color="4F81BD" w:sz="8" w:space="0"/>
            </w:tcBorders>
            <w:shd w:val="clear" w:color="auto" w:fill="B8CCE4"/>
          </w:tcPr>
          <w:p>
            <w:pPr>
              <w:rPr>
                <w:rFonts w:asciiTheme="minorEastAsia" w:hAnsiTheme="minorEastAsia" w:eastAsiaTheme="minorEastAsia" w:cstheme="minorBidi"/>
                <w:b/>
                <w:bCs/>
                <w:color w:val="000000"/>
                <w:sz w:val="18"/>
                <w:szCs w:val="18"/>
              </w:rPr>
            </w:pPr>
            <w:r>
              <w:rPr>
                <w:rFonts w:hint="eastAsia" w:asciiTheme="minorEastAsia" w:hAnsiTheme="minorEastAsia" w:eastAsiaTheme="minorEastAsia" w:cstheme="minorBidi"/>
                <w:b/>
                <w:bCs/>
                <w:color w:val="000000"/>
                <w:sz w:val="18"/>
                <w:szCs w:val="18"/>
              </w:rPr>
              <w:t>3．补正后申请内容仍不明确</w:t>
            </w:r>
          </w:p>
        </w:tc>
        <w:tc>
          <w:tcPr>
            <w:tcW w:w="91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1</w:t>
            </w:r>
          </w:p>
        </w:tc>
        <w:tc>
          <w:tcPr>
            <w:tcW w:w="830"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91"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8"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1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86"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66" w:type="dxa"/>
            <w:vMerge w:val="continue"/>
            <w:tcBorders>
              <w:top w:val="single" w:color="4F81BD" w:sz="8" w:space="0"/>
              <w:left w:val="single" w:color="4F81BD" w:sz="8" w:space="0"/>
              <w:bottom w:val="single" w:color="4F81BD" w:sz="8" w:space="0"/>
              <w:right w:val="single" w:color="4F81BD" w:sz="8" w:space="0"/>
            </w:tcBorders>
            <w:shd w:val="clear" w:color="auto" w:fill="FFFFFF"/>
          </w:tcPr>
          <w:p>
            <w:pPr>
              <w:rPr>
                <w:rFonts w:hint="eastAsia" w:asciiTheme="minorHAnsi" w:hAnsiTheme="minorHAnsi" w:eastAsiaTheme="minorEastAsia" w:cstheme="minorBidi"/>
                <w:b/>
                <w:bCs/>
                <w:color w:val="000000"/>
                <w:szCs w:val="22"/>
              </w:rPr>
            </w:pPr>
          </w:p>
        </w:tc>
        <w:tc>
          <w:tcPr>
            <w:tcW w:w="817" w:type="dxa"/>
            <w:vMerge w:val="restart"/>
            <w:tcBorders>
              <w:top w:val="single" w:color="4F81BD" w:sz="8" w:space="0"/>
              <w:left w:val="single" w:color="4F81BD" w:sz="8" w:space="0"/>
              <w:bottom w:val="single" w:color="4F81BD" w:sz="8" w:space="0"/>
              <w:right w:val="single" w:color="4F81BD" w:sz="8" w:space="0"/>
            </w:tcBorders>
            <w:shd w:val="clear" w:color="auto" w:fill="FFFFFF"/>
            <w:vAlign w:val="center"/>
          </w:tcPr>
          <w:p>
            <w:pPr>
              <w:rPr>
                <w:rFonts w:hint="eastAsia" w:asciiTheme="minorHAnsi" w:hAnsiTheme="minorHAnsi" w:eastAsiaTheme="minorEastAsia" w:cstheme="minorBidi"/>
                <w:b/>
                <w:bCs/>
                <w:color w:val="000000"/>
                <w:sz w:val="18"/>
                <w:szCs w:val="18"/>
              </w:rPr>
            </w:pPr>
            <w:r>
              <w:rPr>
                <w:rFonts w:hint="eastAsia" w:asciiTheme="minorHAnsi" w:hAnsiTheme="minorHAnsi" w:eastAsiaTheme="minorEastAsia" w:cstheme="minorBidi"/>
                <w:b/>
                <w:bCs/>
                <w:color w:val="000000"/>
                <w:sz w:val="18"/>
                <w:szCs w:val="18"/>
              </w:rPr>
              <w:t>（五）</w:t>
            </w:r>
            <w:r>
              <w:rPr>
                <w:rFonts w:hint="eastAsia" w:asciiTheme="minorEastAsia" w:hAnsiTheme="minorEastAsia" w:eastAsiaTheme="minorEastAsia" w:cstheme="minorBidi"/>
                <w:b/>
                <w:bCs/>
                <w:color w:val="000000"/>
                <w:sz w:val="18"/>
                <w:szCs w:val="18"/>
              </w:rPr>
              <w:t>不予处理</w:t>
            </w:r>
          </w:p>
        </w:tc>
        <w:tc>
          <w:tcPr>
            <w:tcW w:w="2066" w:type="dxa"/>
            <w:tcBorders>
              <w:top w:val="single" w:color="4F81BD" w:sz="8" w:space="0"/>
              <w:left w:val="single" w:color="4F81BD" w:sz="8" w:space="0"/>
              <w:bottom w:val="single" w:color="4F81BD" w:sz="8" w:space="0"/>
              <w:right w:val="single" w:color="4F81BD" w:sz="8" w:space="0"/>
            </w:tcBorders>
            <w:shd w:val="clear" w:color="auto" w:fill="FFFFFF"/>
          </w:tcPr>
          <w:p>
            <w:pPr>
              <w:rPr>
                <w:rFonts w:asciiTheme="minorEastAsia" w:hAnsiTheme="minorEastAsia" w:eastAsiaTheme="minorEastAsia" w:cstheme="minorBidi"/>
                <w:b/>
                <w:bCs/>
                <w:color w:val="000000"/>
                <w:sz w:val="18"/>
                <w:szCs w:val="18"/>
              </w:rPr>
            </w:pPr>
            <w:r>
              <w:rPr>
                <w:rFonts w:hint="eastAsia" w:asciiTheme="minorEastAsia" w:hAnsiTheme="minorEastAsia" w:eastAsiaTheme="minorEastAsia" w:cstheme="minorBidi"/>
                <w:b/>
                <w:bCs/>
                <w:color w:val="000000"/>
                <w:sz w:val="18"/>
                <w:szCs w:val="18"/>
              </w:rPr>
              <w:t>1．信访举报投诉类申请</w:t>
            </w:r>
          </w:p>
        </w:tc>
        <w:tc>
          <w:tcPr>
            <w:tcW w:w="91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2</w:t>
            </w:r>
          </w:p>
        </w:tc>
        <w:tc>
          <w:tcPr>
            <w:tcW w:w="83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91"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8"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1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86"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566" w:type="dxa"/>
            <w:vMerge w:val="continue"/>
            <w:tcBorders>
              <w:top w:val="single" w:color="4F81BD" w:sz="8" w:space="0"/>
              <w:left w:val="single" w:color="4F81BD" w:sz="8" w:space="0"/>
              <w:bottom w:val="single" w:color="4F81BD" w:sz="8" w:space="0"/>
              <w:right w:val="single" w:color="4F81BD" w:sz="8" w:space="0"/>
            </w:tcBorders>
            <w:shd w:val="clear" w:color="auto" w:fill="B8CCE4"/>
          </w:tcPr>
          <w:p>
            <w:pPr>
              <w:rPr>
                <w:rFonts w:hint="eastAsia" w:asciiTheme="minorHAnsi" w:hAnsiTheme="minorHAnsi" w:eastAsiaTheme="minorEastAsia" w:cstheme="minorBidi"/>
                <w:b/>
                <w:bCs/>
                <w:color w:val="000000"/>
                <w:szCs w:val="22"/>
              </w:rPr>
            </w:pPr>
          </w:p>
        </w:tc>
        <w:tc>
          <w:tcPr>
            <w:tcW w:w="817" w:type="dxa"/>
            <w:vMerge w:val="continue"/>
            <w:tcBorders>
              <w:top w:val="single" w:color="4F81BD" w:sz="8" w:space="0"/>
              <w:left w:val="single" w:color="4F81BD" w:sz="8" w:space="0"/>
              <w:bottom w:val="single" w:color="4F81BD" w:sz="8" w:space="0"/>
              <w:right w:val="single" w:color="4F81BD" w:sz="8" w:space="0"/>
            </w:tcBorders>
            <w:shd w:val="clear" w:color="auto" w:fill="B8CCE4"/>
          </w:tcPr>
          <w:p>
            <w:pPr>
              <w:rPr>
                <w:rFonts w:hint="eastAsia" w:asciiTheme="minorHAnsi" w:hAnsiTheme="minorHAnsi" w:eastAsiaTheme="minorEastAsia" w:cstheme="minorBidi"/>
                <w:b/>
                <w:bCs/>
                <w:color w:val="000000"/>
                <w:szCs w:val="22"/>
              </w:rPr>
            </w:pPr>
          </w:p>
        </w:tc>
        <w:tc>
          <w:tcPr>
            <w:tcW w:w="2066" w:type="dxa"/>
            <w:tcBorders>
              <w:top w:val="single" w:color="4F81BD" w:sz="8" w:space="0"/>
              <w:left w:val="single" w:color="4F81BD" w:sz="8" w:space="0"/>
              <w:bottom w:val="single" w:color="4F81BD" w:sz="8" w:space="0"/>
              <w:right w:val="single" w:color="4F81BD" w:sz="8" w:space="0"/>
            </w:tcBorders>
            <w:shd w:val="clear" w:color="auto" w:fill="B8CCE4"/>
          </w:tcPr>
          <w:p>
            <w:pPr>
              <w:rPr>
                <w:rFonts w:asciiTheme="minorEastAsia" w:hAnsiTheme="minorEastAsia" w:eastAsiaTheme="minorEastAsia" w:cstheme="minorBidi"/>
                <w:b/>
                <w:bCs/>
                <w:color w:val="000000"/>
                <w:sz w:val="18"/>
                <w:szCs w:val="18"/>
              </w:rPr>
            </w:pPr>
            <w:r>
              <w:rPr>
                <w:rFonts w:hint="eastAsia" w:asciiTheme="minorEastAsia" w:hAnsiTheme="minorEastAsia" w:eastAsiaTheme="minorEastAsia" w:cstheme="minorBidi"/>
                <w:b/>
                <w:bCs/>
                <w:color w:val="000000"/>
                <w:sz w:val="18"/>
                <w:szCs w:val="18"/>
              </w:rPr>
              <w:t>2．重复申请</w:t>
            </w:r>
          </w:p>
        </w:tc>
        <w:tc>
          <w:tcPr>
            <w:tcW w:w="91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2</w:t>
            </w:r>
          </w:p>
        </w:tc>
        <w:tc>
          <w:tcPr>
            <w:tcW w:w="830"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1</w:t>
            </w:r>
          </w:p>
        </w:tc>
        <w:tc>
          <w:tcPr>
            <w:tcW w:w="65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91"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8"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1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86"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66" w:type="dxa"/>
            <w:vMerge w:val="continue"/>
            <w:tcBorders>
              <w:top w:val="single" w:color="4F81BD" w:sz="8" w:space="0"/>
              <w:left w:val="single" w:color="4F81BD" w:sz="8" w:space="0"/>
              <w:bottom w:val="single" w:color="4F81BD" w:sz="8" w:space="0"/>
              <w:right w:val="single" w:color="4F81BD" w:sz="8" w:space="0"/>
            </w:tcBorders>
            <w:shd w:val="clear" w:color="auto" w:fill="FFFFFF"/>
          </w:tcPr>
          <w:p>
            <w:pPr>
              <w:rPr>
                <w:rFonts w:hint="eastAsia" w:asciiTheme="minorHAnsi" w:hAnsiTheme="minorHAnsi" w:eastAsiaTheme="minorEastAsia" w:cstheme="minorBidi"/>
                <w:b/>
                <w:bCs/>
                <w:color w:val="000000"/>
                <w:szCs w:val="22"/>
              </w:rPr>
            </w:pPr>
          </w:p>
        </w:tc>
        <w:tc>
          <w:tcPr>
            <w:tcW w:w="817" w:type="dxa"/>
            <w:vMerge w:val="continue"/>
            <w:tcBorders>
              <w:top w:val="single" w:color="4F81BD" w:sz="8" w:space="0"/>
              <w:left w:val="single" w:color="4F81BD" w:sz="8" w:space="0"/>
              <w:bottom w:val="single" w:color="4F81BD" w:sz="8" w:space="0"/>
              <w:right w:val="single" w:color="4F81BD" w:sz="8" w:space="0"/>
            </w:tcBorders>
            <w:shd w:val="clear" w:color="auto" w:fill="FFFFFF"/>
          </w:tcPr>
          <w:p>
            <w:pPr>
              <w:rPr>
                <w:rFonts w:hint="eastAsia" w:asciiTheme="minorHAnsi" w:hAnsiTheme="minorHAnsi" w:eastAsiaTheme="minorEastAsia" w:cstheme="minorBidi"/>
                <w:b/>
                <w:bCs/>
                <w:color w:val="000000"/>
                <w:szCs w:val="22"/>
              </w:rPr>
            </w:pPr>
          </w:p>
        </w:tc>
        <w:tc>
          <w:tcPr>
            <w:tcW w:w="2066" w:type="dxa"/>
            <w:tcBorders>
              <w:top w:val="single" w:color="4F81BD" w:sz="8" w:space="0"/>
              <w:left w:val="single" w:color="4F81BD" w:sz="8" w:space="0"/>
              <w:bottom w:val="single" w:color="4F81BD" w:sz="8" w:space="0"/>
              <w:right w:val="single" w:color="4F81BD" w:sz="8" w:space="0"/>
            </w:tcBorders>
            <w:shd w:val="clear" w:color="auto" w:fill="FFFFFF"/>
          </w:tcPr>
          <w:p>
            <w:pPr>
              <w:rPr>
                <w:rFonts w:asciiTheme="minorEastAsia" w:hAnsiTheme="minorEastAsia" w:eastAsiaTheme="minorEastAsia" w:cstheme="minorBidi"/>
                <w:b/>
                <w:bCs/>
                <w:color w:val="000000"/>
                <w:sz w:val="18"/>
                <w:szCs w:val="18"/>
              </w:rPr>
            </w:pPr>
            <w:r>
              <w:rPr>
                <w:rFonts w:asciiTheme="minorEastAsia" w:hAnsiTheme="minorEastAsia" w:eastAsiaTheme="minorEastAsia" w:cstheme="minorBidi"/>
                <w:b/>
                <w:bCs/>
                <w:color w:val="000000"/>
                <w:sz w:val="18"/>
                <w:szCs w:val="18"/>
              </w:rPr>
              <w:t>3</w:t>
            </w:r>
            <w:r>
              <w:rPr>
                <w:rFonts w:hint="eastAsia" w:asciiTheme="minorEastAsia" w:hAnsiTheme="minorEastAsia" w:eastAsiaTheme="minorEastAsia" w:cstheme="minorBidi"/>
                <w:b/>
                <w:bCs/>
                <w:color w:val="000000"/>
                <w:sz w:val="18"/>
                <w:szCs w:val="18"/>
              </w:rPr>
              <w:t>．要求提供公开出版物</w:t>
            </w:r>
          </w:p>
        </w:tc>
        <w:tc>
          <w:tcPr>
            <w:tcW w:w="91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83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91"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8"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1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86"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66" w:type="dxa"/>
            <w:vMerge w:val="continue"/>
            <w:tcBorders>
              <w:top w:val="single" w:color="4F81BD" w:sz="8" w:space="0"/>
              <w:left w:val="single" w:color="4F81BD" w:sz="8" w:space="0"/>
              <w:bottom w:val="single" w:color="4F81BD" w:sz="8" w:space="0"/>
              <w:right w:val="single" w:color="4F81BD" w:sz="8" w:space="0"/>
            </w:tcBorders>
            <w:shd w:val="clear" w:color="auto" w:fill="B8CCE4"/>
          </w:tcPr>
          <w:p>
            <w:pPr>
              <w:rPr>
                <w:rFonts w:hint="eastAsia" w:asciiTheme="minorHAnsi" w:hAnsiTheme="minorHAnsi" w:eastAsiaTheme="minorEastAsia" w:cstheme="minorBidi"/>
                <w:b/>
                <w:bCs/>
                <w:color w:val="000000"/>
                <w:szCs w:val="22"/>
              </w:rPr>
            </w:pPr>
          </w:p>
        </w:tc>
        <w:tc>
          <w:tcPr>
            <w:tcW w:w="817" w:type="dxa"/>
            <w:vMerge w:val="continue"/>
            <w:tcBorders>
              <w:top w:val="single" w:color="4F81BD" w:sz="8" w:space="0"/>
              <w:left w:val="single" w:color="4F81BD" w:sz="8" w:space="0"/>
              <w:bottom w:val="single" w:color="4F81BD" w:sz="8" w:space="0"/>
              <w:right w:val="single" w:color="4F81BD" w:sz="8" w:space="0"/>
            </w:tcBorders>
            <w:shd w:val="clear" w:color="auto" w:fill="B8CCE4"/>
          </w:tcPr>
          <w:p>
            <w:pPr>
              <w:rPr>
                <w:rFonts w:hint="eastAsia" w:asciiTheme="minorHAnsi" w:hAnsiTheme="minorHAnsi" w:eastAsiaTheme="minorEastAsia" w:cstheme="minorBidi"/>
                <w:b/>
                <w:bCs/>
                <w:color w:val="000000"/>
                <w:szCs w:val="22"/>
              </w:rPr>
            </w:pPr>
          </w:p>
        </w:tc>
        <w:tc>
          <w:tcPr>
            <w:tcW w:w="2066" w:type="dxa"/>
            <w:tcBorders>
              <w:top w:val="single" w:color="4F81BD" w:sz="8" w:space="0"/>
              <w:left w:val="single" w:color="4F81BD" w:sz="8" w:space="0"/>
              <w:bottom w:val="single" w:color="4F81BD" w:sz="8" w:space="0"/>
              <w:right w:val="single" w:color="4F81BD" w:sz="8" w:space="0"/>
            </w:tcBorders>
            <w:shd w:val="clear" w:color="auto" w:fill="B8CCE4"/>
          </w:tcPr>
          <w:p>
            <w:pPr>
              <w:rPr>
                <w:rFonts w:asciiTheme="minorEastAsia" w:hAnsiTheme="minorEastAsia" w:eastAsiaTheme="minorEastAsia" w:cstheme="minorBidi"/>
                <w:b/>
                <w:bCs/>
                <w:color w:val="000000"/>
                <w:sz w:val="18"/>
                <w:szCs w:val="18"/>
              </w:rPr>
            </w:pPr>
            <w:r>
              <w:rPr>
                <w:rFonts w:hint="eastAsia" w:asciiTheme="minorEastAsia" w:hAnsiTheme="minorEastAsia" w:eastAsiaTheme="minorEastAsia" w:cstheme="minorBidi"/>
                <w:b/>
                <w:bCs/>
                <w:color w:val="000000"/>
                <w:sz w:val="18"/>
                <w:szCs w:val="18"/>
              </w:rPr>
              <w:t>4．无正当理由大量反复申请</w:t>
            </w:r>
          </w:p>
        </w:tc>
        <w:tc>
          <w:tcPr>
            <w:tcW w:w="91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3</w:t>
            </w:r>
          </w:p>
        </w:tc>
        <w:tc>
          <w:tcPr>
            <w:tcW w:w="830"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91"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8"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1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86"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566" w:type="dxa"/>
            <w:vMerge w:val="continue"/>
            <w:tcBorders>
              <w:top w:val="single" w:color="4F81BD" w:sz="8" w:space="0"/>
              <w:left w:val="single" w:color="4F81BD" w:sz="8" w:space="0"/>
              <w:bottom w:val="single" w:color="4F81BD" w:sz="8" w:space="0"/>
              <w:right w:val="single" w:color="4F81BD" w:sz="8" w:space="0"/>
            </w:tcBorders>
            <w:shd w:val="clear" w:color="auto" w:fill="FFFFFF"/>
          </w:tcPr>
          <w:p>
            <w:pPr>
              <w:rPr>
                <w:rFonts w:hint="eastAsia" w:asciiTheme="minorHAnsi" w:hAnsiTheme="minorHAnsi" w:eastAsiaTheme="minorEastAsia" w:cstheme="minorBidi"/>
                <w:b/>
                <w:bCs/>
                <w:color w:val="000000"/>
                <w:szCs w:val="22"/>
              </w:rPr>
            </w:pPr>
          </w:p>
        </w:tc>
        <w:tc>
          <w:tcPr>
            <w:tcW w:w="817" w:type="dxa"/>
            <w:vMerge w:val="continue"/>
            <w:tcBorders>
              <w:top w:val="single" w:color="4F81BD" w:sz="8" w:space="0"/>
              <w:left w:val="single" w:color="4F81BD" w:sz="8" w:space="0"/>
              <w:bottom w:val="single" w:color="4F81BD" w:sz="8" w:space="0"/>
              <w:right w:val="single" w:color="4F81BD" w:sz="8" w:space="0"/>
            </w:tcBorders>
            <w:shd w:val="clear" w:color="auto" w:fill="FFFFFF"/>
          </w:tcPr>
          <w:p>
            <w:pPr>
              <w:rPr>
                <w:rFonts w:hint="eastAsia" w:asciiTheme="minorHAnsi" w:hAnsiTheme="minorHAnsi" w:eastAsiaTheme="minorEastAsia" w:cstheme="minorBidi"/>
                <w:b/>
                <w:bCs/>
                <w:color w:val="000000"/>
                <w:szCs w:val="22"/>
              </w:rPr>
            </w:pPr>
          </w:p>
        </w:tc>
        <w:tc>
          <w:tcPr>
            <w:tcW w:w="2066" w:type="dxa"/>
            <w:tcBorders>
              <w:top w:val="single" w:color="4F81BD" w:sz="8" w:space="0"/>
              <w:left w:val="single" w:color="4F81BD" w:sz="8" w:space="0"/>
              <w:bottom w:val="single" w:color="4F81BD" w:sz="8" w:space="0"/>
              <w:right w:val="single" w:color="4F81BD" w:sz="8" w:space="0"/>
            </w:tcBorders>
            <w:shd w:val="clear" w:color="auto" w:fill="FFFFFF"/>
          </w:tcPr>
          <w:p>
            <w:pPr>
              <w:ind w:left="180" w:hanging="181" w:hangingChars="100"/>
              <w:rPr>
                <w:rFonts w:asciiTheme="minorEastAsia" w:hAnsiTheme="minorEastAsia" w:eastAsiaTheme="minorEastAsia" w:cstheme="minorBidi"/>
                <w:b/>
                <w:bCs/>
                <w:color w:val="000000"/>
                <w:sz w:val="18"/>
                <w:szCs w:val="18"/>
              </w:rPr>
            </w:pPr>
            <w:r>
              <w:rPr>
                <w:rFonts w:hint="eastAsia" w:asciiTheme="minorEastAsia" w:hAnsiTheme="minorEastAsia" w:eastAsiaTheme="minorEastAsia" w:cstheme="minorBidi"/>
                <w:b/>
                <w:bCs/>
                <w:color w:val="000000"/>
                <w:sz w:val="18"/>
                <w:szCs w:val="18"/>
              </w:rPr>
              <w:t>5．要求行政机关确认或重新出具已获取信息</w:t>
            </w:r>
          </w:p>
        </w:tc>
        <w:tc>
          <w:tcPr>
            <w:tcW w:w="91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83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91"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8"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1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86"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566" w:type="dxa"/>
            <w:vMerge w:val="continue"/>
            <w:tcBorders>
              <w:top w:val="single" w:color="4F81BD" w:sz="8" w:space="0"/>
              <w:left w:val="single" w:color="4F81BD" w:sz="8" w:space="0"/>
              <w:bottom w:val="single" w:color="4F81BD" w:sz="8" w:space="0"/>
              <w:right w:val="single" w:color="4F81BD" w:sz="8" w:space="0"/>
            </w:tcBorders>
            <w:shd w:val="clear" w:color="auto" w:fill="B8CCE4"/>
          </w:tcPr>
          <w:p>
            <w:pPr>
              <w:rPr>
                <w:rFonts w:hint="eastAsia" w:asciiTheme="minorHAnsi" w:hAnsiTheme="minorHAnsi" w:eastAsiaTheme="minorEastAsia" w:cstheme="minorBidi"/>
                <w:b/>
                <w:bCs/>
                <w:color w:val="000000"/>
                <w:szCs w:val="22"/>
              </w:rPr>
            </w:pPr>
          </w:p>
        </w:tc>
        <w:tc>
          <w:tcPr>
            <w:tcW w:w="2883" w:type="dxa"/>
            <w:gridSpan w:val="2"/>
            <w:tcBorders>
              <w:top w:val="single" w:color="4F81BD" w:sz="8" w:space="0"/>
              <w:left w:val="single" w:color="4F81BD" w:sz="8" w:space="0"/>
              <w:bottom w:val="single" w:color="4F81BD" w:sz="8" w:space="0"/>
              <w:right w:val="single" w:color="4F81BD" w:sz="8" w:space="0"/>
            </w:tcBorders>
            <w:shd w:val="clear" w:color="auto" w:fill="B8CCE4"/>
            <w:vAlign w:val="center"/>
          </w:tcPr>
          <w:p>
            <w:pPr>
              <w:rPr>
                <w:rFonts w:hint="eastAsia" w:asciiTheme="minorHAnsi" w:hAnsiTheme="minorHAnsi" w:eastAsiaTheme="minorEastAsia" w:cstheme="minorBidi"/>
                <w:b/>
                <w:bCs/>
                <w:color w:val="000000"/>
                <w:sz w:val="18"/>
                <w:szCs w:val="18"/>
              </w:rPr>
            </w:pPr>
            <w:r>
              <w:rPr>
                <w:rFonts w:hint="eastAsia" w:asciiTheme="minorHAnsi" w:hAnsiTheme="minorHAnsi" w:eastAsiaTheme="minorEastAsia" w:cstheme="minorBidi"/>
                <w:b/>
                <w:bCs/>
                <w:color w:val="000000"/>
                <w:sz w:val="18"/>
                <w:szCs w:val="18"/>
              </w:rPr>
              <w:t>（六）其他处理</w:t>
            </w:r>
          </w:p>
        </w:tc>
        <w:tc>
          <w:tcPr>
            <w:tcW w:w="91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71</w:t>
            </w:r>
          </w:p>
        </w:tc>
        <w:tc>
          <w:tcPr>
            <w:tcW w:w="830"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91"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8"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1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86"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566" w:type="dxa"/>
            <w:vMerge w:val="continue"/>
            <w:tcBorders>
              <w:top w:val="single" w:color="4F81BD" w:sz="8" w:space="0"/>
              <w:left w:val="single" w:color="4F81BD" w:sz="8" w:space="0"/>
              <w:bottom w:val="single" w:color="4F81BD" w:sz="8" w:space="0"/>
              <w:right w:val="single" w:color="4F81BD" w:sz="8" w:space="0"/>
            </w:tcBorders>
            <w:shd w:val="clear" w:color="auto" w:fill="FFFFFF"/>
          </w:tcPr>
          <w:p>
            <w:pPr>
              <w:rPr>
                <w:rFonts w:hint="eastAsia" w:asciiTheme="minorHAnsi" w:hAnsiTheme="minorHAnsi" w:eastAsiaTheme="minorEastAsia" w:cstheme="minorBidi"/>
                <w:b/>
                <w:bCs/>
                <w:color w:val="000000"/>
                <w:szCs w:val="22"/>
              </w:rPr>
            </w:pPr>
          </w:p>
        </w:tc>
        <w:tc>
          <w:tcPr>
            <w:tcW w:w="2883" w:type="dxa"/>
            <w:gridSpan w:val="2"/>
            <w:tcBorders>
              <w:top w:val="single" w:color="4F81BD" w:sz="8" w:space="0"/>
              <w:left w:val="single" w:color="4F81BD" w:sz="8" w:space="0"/>
              <w:bottom w:val="single" w:color="4F81BD" w:sz="8" w:space="0"/>
              <w:right w:val="single" w:color="4F81BD" w:sz="8" w:space="0"/>
            </w:tcBorders>
            <w:shd w:val="clear" w:color="auto" w:fill="FFFFFF"/>
            <w:vAlign w:val="center"/>
          </w:tcPr>
          <w:p>
            <w:pPr>
              <w:rPr>
                <w:rFonts w:hint="eastAsia" w:asciiTheme="minorHAnsi" w:hAnsiTheme="minorHAnsi" w:eastAsiaTheme="minorEastAsia" w:cstheme="minorBidi"/>
                <w:b/>
                <w:bCs/>
                <w:color w:val="000000"/>
                <w:sz w:val="18"/>
                <w:szCs w:val="18"/>
              </w:rPr>
            </w:pPr>
            <w:r>
              <w:rPr>
                <w:rFonts w:hint="eastAsia" w:asciiTheme="minorHAnsi" w:hAnsiTheme="minorHAnsi" w:eastAsiaTheme="minorEastAsia" w:cstheme="minorBidi"/>
                <w:b/>
                <w:bCs/>
                <w:color w:val="000000"/>
                <w:sz w:val="18"/>
                <w:szCs w:val="18"/>
              </w:rPr>
              <w:t>（七）总计</w:t>
            </w:r>
          </w:p>
        </w:tc>
        <w:tc>
          <w:tcPr>
            <w:tcW w:w="91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lang w:val="en-US" w:eastAsia="zh-CN"/>
              </w:rPr>
            </w:pPr>
            <w:r>
              <w:rPr>
                <w:rFonts w:hint="eastAsia" w:ascii="宋体" w:hAnsi="宋体"/>
                <w:color w:val="000000"/>
                <w:sz w:val="24"/>
              </w:rPr>
              <w:t>132</w:t>
            </w:r>
            <w:r>
              <w:rPr>
                <w:rFonts w:hint="eastAsia" w:ascii="宋体" w:hAnsi="宋体"/>
                <w:color w:val="000000"/>
                <w:sz w:val="24"/>
                <w:lang w:val="en-US" w:eastAsia="zh-CN"/>
              </w:rPr>
              <w:t>1</w:t>
            </w:r>
          </w:p>
        </w:tc>
        <w:tc>
          <w:tcPr>
            <w:tcW w:w="83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default" w:asciiTheme="minorHAnsi" w:hAnsiTheme="minorHAnsi" w:eastAsiaTheme="minorEastAsia" w:cstheme="minorBidi"/>
                <w:color w:val="000000"/>
                <w:szCs w:val="22"/>
                <w:lang w:val="en-US" w:eastAsia="zh-CN"/>
              </w:rPr>
            </w:pPr>
            <w:bookmarkStart w:id="0" w:name="_GoBack"/>
            <w:r>
              <w:rPr>
                <w:rFonts w:hint="eastAsia" w:ascii="宋体" w:hAnsi="宋体"/>
                <w:color w:val="000000"/>
                <w:sz w:val="24"/>
                <w:lang w:val="en-US" w:eastAsia="zh-CN"/>
              </w:rPr>
              <w:t>51</w:t>
            </w:r>
            <w:bookmarkEnd w:id="0"/>
          </w:p>
        </w:tc>
        <w:tc>
          <w:tcPr>
            <w:tcW w:w="65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17</w:t>
            </w:r>
          </w:p>
        </w:tc>
        <w:tc>
          <w:tcPr>
            <w:tcW w:w="691"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5</w:t>
            </w:r>
          </w:p>
        </w:tc>
        <w:tc>
          <w:tcPr>
            <w:tcW w:w="658"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1</w:t>
            </w:r>
          </w:p>
        </w:tc>
        <w:tc>
          <w:tcPr>
            <w:tcW w:w="71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1</w:t>
            </w:r>
          </w:p>
        </w:tc>
        <w:tc>
          <w:tcPr>
            <w:tcW w:w="786"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beforeLines="0" w:afterLines="0"/>
              <w:jc w:val="center"/>
              <w:rPr>
                <w:rFonts w:hint="eastAsia" w:eastAsia="黑体" w:asciiTheme="minorHAnsi" w:hAnsiTheme="minorHAnsi" w:cstheme="minorBidi"/>
                <w:color w:val="000000"/>
                <w:szCs w:val="22"/>
                <w:lang w:val="en-US" w:eastAsia="zh-CN"/>
              </w:rPr>
            </w:pPr>
            <w:r>
              <w:rPr>
                <w:rFonts w:hint="eastAsia" w:ascii="宋体" w:hAnsi="宋体"/>
                <w:color w:val="000000"/>
                <w:sz w:val="24"/>
              </w:rPr>
              <w:t>1396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3449" w:type="dxa"/>
            <w:gridSpan w:val="3"/>
            <w:tcBorders>
              <w:top w:val="single" w:color="4F81BD" w:sz="8" w:space="0"/>
              <w:left w:val="single" w:color="4F81BD" w:sz="8" w:space="0"/>
              <w:bottom w:val="single" w:color="4F81BD" w:sz="8" w:space="0"/>
              <w:right w:val="single" w:color="4F81BD" w:sz="8" w:space="0"/>
            </w:tcBorders>
            <w:shd w:val="clear" w:color="auto" w:fill="B8CCE4"/>
            <w:vAlign w:val="center"/>
          </w:tcPr>
          <w:p>
            <w:pPr>
              <w:rPr>
                <w:rFonts w:hint="eastAsia" w:asciiTheme="minorHAnsi" w:hAnsiTheme="minorHAnsi" w:eastAsiaTheme="minorEastAsia" w:cstheme="minorBidi"/>
                <w:b/>
                <w:bCs/>
                <w:color w:val="000000"/>
                <w:szCs w:val="22"/>
              </w:rPr>
            </w:pPr>
            <w:r>
              <w:rPr>
                <w:rFonts w:hint="eastAsia" w:asciiTheme="minorHAnsi" w:hAnsiTheme="minorHAnsi" w:eastAsiaTheme="minorEastAsia" w:cstheme="minorBidi"/>
                <w:b/>
                <w:bCs/>
                <w:color w:val="000000"/>
                <w:szCs w:val="22"/>
              </w:rPr>
              <w:t>四、结转下年度继续办理</w:t>
            </w:r>
          </w:p>
        </w:tc>
        <w:tc>
          <w:tcPr>
            <w:tcW w:w="91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19</w:t>
            </w:r>
          </w:p>
        </w:tc>
        <w:tc>
          <w:tcPr>
            <w:tcW w:w="830"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2</w:t>
            </w:r>
          </w:p>
        </w:tc>
        <w:tc>
          <w:tcPr>
            <w:tcW w:w="65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91"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658"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1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0</w:t>
            </w:r>
          </w:p>
        </w:tc>
        <w:tc>
          <w:tcPr>
            <w:tcW w:w="786"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beforeLines="0" w:afterLines="0"/>
              <w:jc w:val="center"/>
              <w:rPr>
                <w:rFonts w:hint="eastAsia" w:asciiTheme="minorHAnsi" w:hAnsiTheme="minorHAnsi" w:eastAsiaTheme="minorEastAsia" w:cstheme="minorBidi"/>
                <w:color w:val="000000"/>
                <w:szCs w:val="22"/>
              </w:rPr>
            </w:pPr>
            <w:r>
              <w:rPr>
                <w:rFonts w:hint="eastAsia" w:ascii="宋体" w:hAnsi="宋体"/>
                <w:color w:val="000000"/>
                <w:sz w:val="24"/>
              </w:rPr>
              <w:t>21</w:t>
            </w:r>
          </w:p>
        </w:tc>
      </w:tr>
    </w:tbl>
    <w:p>
      <w:pPr>
        <w:rPr>
          <w:rFonts w:hint="eastAsia"/>
          <w:lang w:val="en-US" w:eastAsia="zh-CN"/>
        </w:rPr>
      </w:pPr>
    </w:p>
    <w:p>
      <w:pPr>
        <w:keepNext w:val="0"/>
        <w:keepLines w:val="0"/>
        <w:pageBreakBefore w:val="0"/>
        <w:widowControl/>
        <w:numPr>
          <w:ilvl w:val="0"/>
          <w:numId w:val="3"/>
        </w:numPr>
        <w:kinsoku/>
        <w:wordWrap/>
        <w:overflowPunct/>
        <w:topLinePunct w:val="0"/>
        <w:autoSpaceDE/>
        <w:autoSpaceDN/>
        <w:bidi w:val="0"/>
        <w:adjustRightInd w:val="0"/>
        <w:snapToGrid w:val="0"/>
        <w:spacing w:after="0" w:line="600" w:lineRule="exact"/>
        <w:ind w:firstLine="643" w:firstLineChars="200"/>
        <w:textAlignment w:val="auto"/>
        <w:rPr>
          <w:rFonts w:hint="eastAsia" w:asciiTheme="majorEastAsia" w:hAnsiTheme="majorEastAsia" w:eastAsiaTheme="majorEastAsia" w:cstheme="majorEastAsia"/>
          <w:b/>
          <w:bCs/>
          <w:sz w:val="32"/>
          <w:lang w:val="en-US" w:eastAsia="zh-CN"/>
        </w:rPr>
      </w:pPr>
      <w:r>
        <w:rPr>
          <w:rFonts w:hint="eastAsia" w:asciiTheme="majorEastAsia" w:hAnsiTheme="majorEastAsia" w:eastAsiaTheme="majorEastAsia" w:cstheme="majorEastAsia"/>
          <w:b/>
          <w:bCs/>
          <w:sz w:val="32"/>
          <w:lang w:val="en-US" w:eastAsia="zh-CN"/>
        </w:rPr>
        <w:t>政府信息公开申请行政复议、行政诉讼情况</w:t>
      </w:r>
    </w:p>
    <w:tbl>
      <w:tblPr>
        <w:tblStyle w:val="6"/>
        <w:tblpPr w:leftFromText="180" w:rightFromText="180" w:vertAnchor="text" w:horzAnchor="page" w:tblpX="1635" w:tblpY="376"/>
        <w:tblOverlap w:val="never"/>
        <w:tblW w:w="9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525"/>
        <w:gridCol w:w="435"/>
        <w:gridCol w:w="525"/>
        <w:gridCol w:w="630"/>
        <w:gridCol w:w="653"/>
        <w:gridCol w:w="709"/>
        <w:gridCol w:w="709"/>
        <w:gridCol w:w="708"/>
        <w:gridCol w:w="471"/>
        <w:gridCol w:w="645"/>
        <w:gridCol w:w="675"/>
        <w:gridCol w:w="660"/>
        <w:gridCol w:w="735"/>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730" w:type="dxa"/>
            <w:gridSpan w:val="5"/>
            <w:tcBorders>
              <w:top w:val="single" w:color="4F81BD" w:sz="8" w:space="0"/>
              <w:left w:val="single" w:color="4F81BD" w:sz="8" w:space="0"/>
              <w:bottom w:val="single" w:color="FFFFFF" w:sz="4" w:space="0"/>
              <w:right w:val="single" w:color="4F81BD" w:sz="8" w:space="0"/>
            </w:tcBorders>
            <w:shd w:val="clear" w:color="auto" w:fill="4F81BD"/>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heme="minorHAnsi" w:hAnsiTheme="minorHAnsi" w:eastAsiaTheme="minorEastAsia" w:cstheme="minorBidi"/>
                <w:b/>
                <w:bCs/>
                <w:color w:val="FFFFFF"/>
                <w:szCs w:val="21"/>
              </w:rPr>
            </w:pPr>
            <w:r>
              <w:rPr>
                <w:rFonts w:hint="eastAsia" w:asciiTheme="minorHAnsi" w:hAnsiTheme="minorHAnsi" w:eastAsiaTheme="minorEastAsia" w:cstheme="minorBidi"/>
                <w:b/>
                <w:bCs/>
                <w:color w:val="FFFFFF"/>
                <w:szCs w:val="21"/>
              </w:rPr>
              <w:t>行政复议</w:t>
            </w:r>
          </w:p>
        </w:tc>
        <w:tc>
          <w:tcPr>
            <w:tcW w:w="6640" w:type="dxa"/>
            <w:gridSpan w:val="10"/>
            <w:tcBorders>
              <w:top w:val="single" w:color="4F81BD" w:sz="8" w:space="0"/>
              <w:left w:val="single" w:color="4F81BD" w:sz="8" w:space="0"/>
              <w:bottom w:val="single" w:color="FFFFFF" w:sz="4" w:space="0"/>
              <w:right w:val="single" w:color="4F81BD" w:sz="8" w:space="0"/>
            </w:tcBorders>
            <w:shd w:val="clear" w:color="auto" w:fill="4F81BD"/>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heme="minorHAnsi" w:hAnsiTheme="minorHAnsi" w:eastAsiaTheme="minorEastAsia" w:cstheme="minorBidi"/>
                <w:b/>
                <w:bCs/>
                <w:color w:val="FFFFFF"/>
                <w:szCs w:val="21"/>
              </w:rPr>
            </w:pPr>
            <w:r>
              <w:rPr>
                <w:rFonts w:hint="eastAsia" w:asciiTheme="minorHAnsi" w:hAnsiTheme="minorHAnsi" w:eastAsiaTheme="minorEastAsia" w:cstheme="minorBidi"/>
                <w:b/>
                <w:bCs/>
                <w:color w:val="FFFFFF"/>
                <w:szCs w:val="21"/>
              </w:rPr>
              <w:t>行政诉讼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615" w:type="dxa"/>
            <w:vMerge w:val="restart"/>
            <w:tcBorders>
              <w:top w:val="single" w:color="FFFFFF" w:sz="4"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heme="minorHAnsi" w:hAnsiTheme="minorHAnsi" w:eastAsiaTheme="minorEastAsia" w:cstheme="minorBidi"/>
                <w:b/>
                <w:bCs/>
                <w:color w:val="000000"/>
                <w:szCs w:val="21"/>
              </w:rPr>
            </w:pPr>
            <w:r>
              <w:rPr>
                <w:rFonts w:hint="eastAsia" w:asciiTheme="minorHAnsi" w:hAnsiTheme="minorHAnsi" w:eastAsiaTheme="minorEastAsia" w:cstheme="minorBidi"/>
                <w:b/>
                <w:bCs/>
                <w:color w:val="000000"/>
                <w:szCs w:val="21"/>
              </w:rPr>
              <w:t>结果维持</w:t>
            </w:r>
          </w:p>
        </w:tc>
        <w:tc>
          <w:tcPr>
            <w:tcW w:w="525" w:type="dxa"/>
            <w:vMerge w:val="restart"/>
            <w:tcBorders>
              <w:top w:val="single" w:color="FFFFFF" w:sz="4"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heme="minorHAnsi" w:hAnsiTheme="minorHAnsi" w:eastAsiaTheme="minorEastAsia" w:cstheme="minorBidi"/>
                <w:b/>
                <w:bCs/>
                <w:color w:val="000000"/>
                <w:szCs w:val="21"/>
              </w:rPr>
            </w:pPr>
            <w:r>
              <w:rPr>
                <w:rFonts w:hint="eastAsia" w:asciiTheme="minorHAnsi" w:hAnsiTheme="minorHAnsi" w:eastAsiaTheme="minorEastAsia" w:cstheme="minorBidi"/>
                <w:b/>
                <w:bCs/>
                <w:color w:val="000000"/>
                <w:szCs w:val="21"/>
              </w:rPr>
              <w:t>结果纠正</w:t>
            </w:r>
          </w:p>
        </w:tc>
        <w:tc>
          <w:tcPr>
            <w:tcW w:w="435" w:type="dxa"/>
            <w:vMerge w:val="restart"/>
            <w:tcBorders>
              <w:top w:val="single" w:color="FFFFFF" w:sz="4"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heme="minorHAnsi" w:hAnsiTheme="minorHAnsi" w:eastAsiaTheme="minorEastAsia" w:cstheme="minorBidi"/>
                <w:b/>
                <w:bCs/>
                <w:color w:val="000000"/>
                <w:szCs w:val="21"/>
              </w:rPr>
            </w:pPr>
            <w:r>
              <w:rPr>
                <w:rFonts w:hint="eastAsia" w:asciiTheme="minorHAnsi" w:hAnsiTheme="minorHAnsi" w:eastAsiaTheme="minorEastAsia" w:cstheme="minorBidi"/>
                <w:b/>
                <w:bCs/>
                <w:color w:val="000000"/>
                <w:szCs w:val="21"/>
              </w:rPr>
              <w:t>其他结果</w:t>
            </w:r>
          </w:p>
        </w:tc>
        <w:tc>
          <w:tcPr>
            <w:tcW w:w="525" w:type="dxa"/>
            <w:vMerge w:val="restart"/>
            <w:tcBorders>
              <w:top w:val="single" w:color="FFFFFF" w:sz="4"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heme="minorHAnsi" w:hAnsiTheme="minorHAnsi" w:eastAsiaTheme="minorEastAsia" w:cstheme="minorBidi"/>
                <w:b/>
                <w:bCs/>
                <w:color w:val="000000"/>
                <w:szCs w:val="21"/>
              </w:rPr>
            </w:pPr>
            <w:r>
              <w:rPr>
                <w:rFonts w:hint="eastAsia" w:asciiTheme="minorHAnsi" w:hAnsiTheme="minorHAnsi" w:eastAsiaTheme="minorEastAsia" w:cstheme="minorBidi"/>
                <w:b/>
                <w:bCs/>
                <w:color w:val="000000"/>
                <w:szCs w:val="21"/>
              </w:rPr>
              <w:t>尚未审结</w:t>
            </w:r>
          </w:p>
        </w:tc>
        <w:tc>
          <w:tcPr>
            <w:tcW w:w="630" w:type="dxa"/>
            <w:vMerge w:val="restart"/>
            <w:tcBorders>
              <w:top w:val="single" w:color="FFFFFF" w:sz="4"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heme="minorHAnsi" w:hAnsiTheme="minorHAnsi" w:eastAsiaTheme="minorEastAsia" w:cstheme="minorBidi"/>
                <w:b/>
                <w:bCs/>
                <w:color w:val="000000"/>
                <w:szCs w:val="21"/>
              </w:rPr>
            </w:pPr>
            <w:r>
              <w:rPr>
                <w:rFonts w:hint="eastAsia" w:asciiTheme="minorHAnsi" w:hAnsiTheme="minorHAnsi" w:eastAsiaTheme="minorEastAsia" w:cstheme="minorBidi"/>
                <w:b/>
                <w:bCs/>
                <w:color w:val="000000"/>
                <w:szCs w:val="21"/>
              </w:rPr>
              <w:t>总计</w:t>
            </w:r>
          </w:p>
        </w:tc>
        <w:tc>
          <w:tcPr>
            <w:tcW w:w="3250" w:type="dxa"/>
            <w:gridSpan w:val="5"/>
            <w:tcBorders>
              <w:top w:val="single" w:color="FFFFFF" w:sz="4"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heme="minorHAnsi" w:hAnsiTheme="minorHAnsi" w:eastAsiaTheme="minorEastAsia" w:cstheme="minorBidi"/>
                <w:b/>
                <w:bCs/>
                <w:color w:val="000000"/>
                <w:szCs w:val="21"/>
              </w:rPr>
            </w:pPr>
            <w:r>
              <w:rPr>
                <w:rFonts w:hint="eastAsia" w:asciiTheme="minorHAnsi" w:hAnsiTheme="minorHAnsi" w:eastAsiaTheme="minorEastAsia" w:cstheme="minorBidi"/>
                <w:b/>
                <w:bCs/>
                <w:color w:val="000000"/>
                <w:szCs w:val="21"/>
              </w:rPr>
              <w:t>未经复议直接起诉</w:t>
            </w:r>
          </w:p>
        </w:tc>
        <w:tc>
          <w:tcPr>
            <w:tcW w:w="3390" w:type="dxa"/>
            <w:gridSpan w:val="5"/>
            <w:tcBorders>
              <w:top w:val="single" w:color="FFFFFF" w:sz="4"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heme="minorHAnsi" w:hAnsiTheme="minorHAnsi" w:eastAsiaTheme="minorEastAsia" w:cstheme="minorBidi"/>
                <w:b/>
                <w:bCs/>
                <w:color w:val="000000"/>
                <w:szCs w:val="21"/>
              </w:rPr>
            </w:pPr>
            <w:r>
              <w:rPr>
                <w:rFonts w:hint="eastAsia" w:asciiTheme="minorHAnsi" w:hAnsiTheme="minorHAnsi" w:eastAsiaTheme="minorEastAsia" w:cstheme="minorBidi"/>
                <w:b/>
                <w:bCs/>
                <w:color w:val="000000"/>
                <w:szCs w:val="21"/>
              </w:rPr>
              <w:t>复议后起诉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hint="eastAsia" w:asciiTheme="minorHAnsi" w:hAnsiTheme="minorHAnsi" w:eastAsiaTheme="minorEastAsia" w:cstheme="minorBidi"/>
                <w:b/>
                <w:bCs/>
                <w:color w:val="000000"/>
                <w:sz w:val="18"/>
                <w:szCs w:val="18"/>
              </w:rPr>
            </w:pPr>
          </w:p>
        </w:tc>
        <w:tc>
          <w:tcPr>
            <w:tcW w:w="525"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hint="eastAsia" w:asciiTheme="minorHAnsi" w:hAnsiTheme="minorHAnsi" w:eastAsiaTheme="minorEastAsia" w:cstheme="minorBidi"/>
                <w:b/>
                <w:bCs/>
                <w:color w:val="000000"/>
                <w:sz w:val="18"/>
                <w:szCs w:val="18"/>
              </w:rPr>
            </w:pPr>
          </w:p>
        </w:tc>
        <w:tc>
          <w:tcPr>
            <w:tcW w:w="435"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hint="eastAsia" w:asciiTheme="minorHAnsi" w:hAnsiTheme="minorHAnsi" w:eastAsiaTheme="minorEastAsia" w:cstheme="minorBidi"/>
                <w:b/>
                <w:bCs/>
                <w:color w:val="000000"/>
                <w:sz w:val="18"/>
                <w:szCs w:val="18"/>
              </w:rPr>
            </w:pPr>
          </w:p>
        </w:tc>
        <w:tc>
          <w:tcPr>
            <w:tcW w:w="525"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hint="eastAsia" w:asciiTheme="minorHAnsi" w:hAnsiTheme="minorHAnsi" w:eastAsiaTheme="minorEastAsia" w:cstheme="minorBidi"/>
                <w:b/>
                <w:bCs/>
                <w:color w:val="000000"/>
                <w:szCs w:val="21"/>
              </w:rPr>
            </w:pPr>
          </w:p>
        </w:tc>
        <w:tc>
          <w:tcPr>
            <w:tcW w:w="630"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hint="eastAsia" w:asciiTheme="minorHAnsi" w:hAnsiTheme="minorHAnsi" w:eastAsiaTheme="minorEastAsia" w:cstheme="minorBidi"/>
                <w:b/>
                <w:bCs/>
                <w:color w:val="000000"/>
                <w:szCs w:val="21"/>
              </w:rPr>
            </w:pPr>
          </w:p>
        </w:tc>
        <w:tc>
          <w:tcPr>
            <w:tcW w:w="653"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hint="eastAsia" w:asciiTheme="minorHAnsi" w:hAnsiTheme="minorHAnsi" w:eastAsiaTheme="minorEastAsia" w:cstheme="minorBidi"/>
                <w:b/>
                <w:bCs/>
                <w:color w:val="000000"/>
                <w:szCs w:val="21"/>
              </w:rPr>
            </w:pPr>
            <w:r>
              <w:rPr>
                <w:rFonts w:hint="eastAsia" w:asciiTheme="minorHAnsi" w:hAnsiTheme="minorHAnsi" w:eastAsiaTheme="minorEastAsia" w:cstheme="minorBidi"/>
                <w:b/>
                <w:bCs/>
                <w:color w:val="000000"/>
                <w:szCs w:val="21"/>
              </w:rPr>
              <w:t>结果维持</w:t>
            </w:r>
          </w:p>
        </w:tc>
        <w:tc>
          <w:tcPr>
            <w:tcW w:w="709"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hint="eastAsia" w:asciiTheme="minorHAnsi" w:hAnsiTheme="minorHAnsi" w:eastAsiaTheme="minorEastAsia" w:cstheme="minorBidi"/>
                <w:b/>
                <w:bCs/>
                <w:color w:val="000000"/>
                <w:szCs w:val="21"/>
              </w:rPr>
            </w:pPr>
            <w:r>
              <w:rPr>
                <w:rFonts w:hint="eastAsia" w:asciiTheme="minorHAnsi" w:hAnsiTheme="minorHAnsi" w:eastAsiaTheme="minorEastAsia" w:cstheme="minorBidi"/>
                <w:b/>
                <w:bCs/>
                <w:color w:val="000000"/>
                <w:szCs w:val="21"/>
              </w:rPr>
              <w:t>结果纠正</w:t>
            </w:r>
          </w:p>
        </w:tc>
        <w:tc>
          <w:tcPr>
            <w:tcW w:w="709"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hint="eastAsia" w:asciiTheme="minorHAnsi" w:hAnsiTheme="minorHAnsi" w:eastAsiaTheme="minorEastAsia" w:cstheme="minorBidi"/>
                <w:b/>
                <w:bCs/>
                <w:color w:val="000000"/>
                <w:szCs w:val="21"/>
              </w:rPr>
            </w:pPr>
            <w:r>
              <w:rPr>
                <w:rFonts w:hint="eastAsia" w:asciiTheme="minorHAnsi" w:hAnsiTheme="minorHAnsi" w:eastAsiaTheme="minorEastAsia" w:cstheme="minorBidi"/>
                <w:b/>
                <w:bCs/>
                <w:color w:val="000000"/>
                <w:szCs w:val="21"/>
              </w:rPr>
              <w:t>其他结果</w:t>
            </w:r>
          </w:p>
        </w:tc>
        <w:tc>
          <w:tcPr>
            <w:tcW w:w="708"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hint="eastAsia" w:asciiTheme="minorHAnsi" w:hAnsiTheme="minorHAnsi" w:eastAsiaTheme="minorEastAsia" w:cstheme="minorBidi"/>
                <w:b/>
                <w:bCs/>
                <w:color w:val="000000"/>
                <w:szCs w:val="21"/>
              </w:rPr>
            </w:pPr>
            <w:r>
              <w:rPr>
                <w:rFonts w:hint="eastAsia" w:asciiTheme="minorHAnsi" w:hAnsiTheme="minorHAnsi" w:eastAsiaTheme="minorEastAsia" w:cstheme="minorBidi"/>
                <w:b/>
                <w:bCs/>
                <w:color w:val="000000"/>
                <w:szCs w:val="21"/>
              </w:rPr>
              <w:t>尚未审结</w:t>
            </w:r>
          </w:p>
        </w:tc>
        <w:tc>
          <w:tcPr>
            <w:tcW w:w="471"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hint="eastAsia" w:asciiTheme="minorHAnsi" w:hAnsiTheme="minorHAnsi" w:eastAsiaTheme="minorEastAsia" w:cstheme="minorBidi"/>
                <w:b/>
                <w:bCs/>
                <w:color w:val="000000"/>
                <w:szCs w:val="21"/>
              </w:rPr>
            </w:pPr>
            <w:r>
              <w:rPr>
                <w:rFonts w:hint="eastAsia" w:asciiTheme="minorHAnsi" w:hAnsiTheme="minorHAnsi" w:eastAsiaTheme="minorEastAsia" w:cstheme="minorBidi"/>
                <w:b/>
                <w:bCs/>
                <w:color w:val="000000"/>
                <w:szCs w:val="21"/>
              </w:rPr>
              <w:t>总计</w:t>
            </w:r>
          </w:p>
        </w:tc>
        <w:tc>
          <w:tcPr>
            <w:tcW w:w="645"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hint="eastAsia" w:asciiTheme="minorHAnsi" w:hAnsiTheme="minorHAnsi" w:eastAsiaTheme="minorEastAsia" w:cstheme="minorBidi"/>
                <w:b/>
                <w:bCs/>
                <w:color w:val="000000"/>
                <w:szCs w:val="21"/>
              </w:rPr>
            </w:pPr>
            <w:r>
              <w:rPr>
                <w:rFonts w:hint="eastAsia" w:asciiTheme="minorHAnsi" w:hAnsiTheme="minorHAnsi" w:eastAsiaTheme="minorEastAsia" w:cstheme="minorBidi"/>
                <w:b/>
                <w:bCs/>
                <w:color w:val="000000"/>
                <w:szCs w:val="21"/>
              </w:rPr>
              <w:t>结果维持</w:t>
            </w:r>
          </w:p>
        </w:tc>
        <w:tc>
          <w:tcPr>
            <w:tcW w:w="675"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hint="eastAsia" w:asciiTheme="minorHAnsi" w:hAnsiTheme="minorHAnsi" w:eastAsiaTheme="minorEastAsia" w:cstheme="minorBidi"/>
                <w:b/>
                <w:bCs/>
                <w:color w:val="000000"/>
                <w:szCs w:val="21"/>
              </w:rPr>
            </w:pPr>
            <w:r>
              <w:rPr>
                <w:rFonts w:hint="eastAsia" w:asciiTheme="minorHAnsi" w:hAnsiTheme="minorHAnsi" w:eastAsiaTheme="minorEastAsia" w:cstheme="minorBidi"/>
                <w:b/>
                <w:bCs/>
                <w:color w:val="000000"/>
                <w:szCs w:val="21"/>
              </w:rPr>
              <w:t>结果纠正</w:t>
            </w:r>
          </w:p>
        </w:tc>
        <w:tc>
          <w:tcPr>
            <w:tcW w:w="660"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hint="eastAsia" w:asciiTheme="minorHAnsi" w:hAnsiTheme="minorHAnsi" w:eastAsiaTheme="minorEastAsia" w:cstheme="minorBidi"/>
                <w:b/>
                <w:bCs/>
                <w:color w:val="000000"/>
                <w:szCs w:val="21"/>
              </w:rPr>
            </w:pPr>
            <w:r>
              <w:rPr>
                <w:rFonts w:hint="eastAsia" w:asciiTheme="minorHAnsi" w:hAnsiTheme="minorHAnsi" w:eastAsiaTheme="minorEastAsia" w:cstheme="minorBidi"/>
                <w:b/>
                <w:bCs/>
                <w:color w:val="000000"/>
                <w:szCs w:val="21"/>
              </w:rPr>
              <w:t>其他结果</w:t>
            </w:r>
          </w:p>
        </w:tc>
        <w:tc>
          <w:tcPr>
            <w:tcW w:w="735"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hint="eastAsia" w:asciiTheme="minorHAnsi" w:hAnsiTheme="minorHAnsi" w:eastAsiaTheme="minorEastAsia" w:cstheme="minorBidi"/>
                <w:b/>
                <w:bCs/>
                <w:color w:val="000000"/>
                <w:szCs w:val="21"/>
              </w:rPr>
            </w:pPr>
            <w:r>
              <w:rPr>
                <w:rFonts w:hint="eastAsia" w:asciiTheme="minorHAnsi" w:hAnsiTheme="minorHAnsi" w:eastAsiaTheme="minorEastAsia" w:cstheme="minorBidi"/>
                <w:b/>
                <w:bCs/>
                <w:color w:val="000000"/>
                <w:szCs w:val="21"/>
              </w:rPr>
              <w:t>尚未审结</w:t>
            </w:r>
          </w:p>
        </w:tc>
        <w:tc>
          <w:tcPr>
            <w:tcW w:w="675"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hint="eastAsia" w:asciiTheme="minorHAnsi" w:hAnsiTheme="minorHAnsi" w:eastAsiaTheme="minorEastAsia" w:cstheme="minorBidi"/>
                <w:b/>
                <w:bCs/>
                <w:color w:val="000000"/>
                <w:szCs w:val="21"/>
              </w:rPr>
            </w:pPr>
            <w:r>
              <w:rPr>
                <w:rFonts w:hint="eastAsia" w:asciiTheme="minorHAnsi" w:hAnsiTheme="minorHAnsi" w:eastAsiaTheme="minorEastAsia" w:cstheme="minorBidi"/>
                <w:b/>
                <w:bCs/>
                <w:color w:val="000000"/>
                <w:szCs w:val="21"/>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615" w:type="dxa"/>
            <w:tcBorders>
              <w:top w:val="single" w:color="4F81BD" w:sz="8" w:space="0"/>
              <w:left w:val="single" w:color="4F81BD" w:sz="8" w:space="0"/>
              <w:bottom w:val="single" w:color="4F81BD" w:sz="8" w:space="0"/>
              <w:right w:val="single" w:color="4F81BD" w:sz="8" w:space="0"/>
            </w:tcBorders>
            <w:shd w:val="clear" w:color="auto" w:fill="FFFFFF" w:themeFill="background1"/>
            <w:vAlign w:val="center"/>
          </w:tcPr>
          <w:p>
            <w:pPr>
              <w:spacing w:beforeLines="0" w:afterLines="0"/>
              <w:jc w:val="center"/>
              <w:rPr>
                <w:rFonts w:hint="eastAsia" w:asciiTheme="minorHAnsi" w:hAnsiTheme="minorHAnsi" w:eastAsiaTheme="minorEastAsia" w:cstheme="minorBidi"/>
                <w:color w:val="000000"/>
                <w:sz w:val="18"/>
                <w:szCs w:val="18"/>
              </w:rPr>
            </w:pPr>
            <w:r>
              <w:rPr>
                <w:rFonts w:hint="eastAsia" w:ascii="宋体" w:hAnsi="宋体" w:cstheme="minorBidi"/>
                <w:color w:val="000000"/>
                <w:sz w:val="22"/>
                <w:szCs w:val="22"/>
                <w:lang w:val="en-US" w:eastAsia="zh-CN"/>
              </w:rPr>
              <w:t>1</w:t>
            </w:r>
            <w:r>
              <w:rPr>
                <w:rFonts w:hint="eastAsia" w:ascii="宋体" w:hAnsi="宋体" w:eastAsiaTheme="minorEastAsia" w:cstheme="minorBidi"/>
                <w:color w:val="000000"/>
                <w:sz w:val="22"/>
                <w:szCs w:val="22"/>
              </w:rPr>
              <w:t>24</w:t>
            </w:r>
          </w:p>
        </w:tc>
        <w:tc>
          <w:tcPr>
            <w:tcW w:w="525" w:type="dxa"/>
            <w:tcBorders>
              <w:top w:val="single" w:color="4F81BD" w:sz="8" w:space="0"/>
              <w:left w:val="single" w:color="4F81BD" w:sz="8" w:space="0"/>
              <w:bottom w:val="single" w:color="4F81BD" w:sz="8" w:space="0"/>
              <w:right w:val="single" w:color="4F81BD" w:sz="8" w:space="0"/>
            </w:tcBorders>
            <w:shd w:val="clear" w:color="auto" w:fill="FFFFFF" w:themeFill="background1"/>
            <w:vAlign w:val="center"/>
          </w:tcPr>
          <w:p>
            <w:pPr>
              <w:spacing w:beforeLines="0" w:afterLines="0"/>
              <w:jc w:val="center"/>
              <w:rPr>
                <w:rFonts w:hint="eastAsia" w:asciiTheme="minorHAnsi" w:hAnsiTheme="minorHAnsi" w:eastAsiaTheme="minorEastAsia" w:cstheme="minorBidi"/>
                <w:color w:val="000000"/>
                <w:sz w:val="18"/>
                <w:szCs w:val="18"/>
                <w:lang w:val="en-US" w:eastAsia="zh-CN"/>
              </w:rPr>
            </w:pPr>
            <w:r>
              <w:rPr>
                <w:rFonts w:hint="eastAsia" w:ascii="宋体" w:hAnsi="宋体" w:eastAsiaTheme="minorEastAsia" w:cstheme="minorBidi"/>
                <w:color w:val="000000"/>
                <w:sz w:val="22"/>
                <w:szCs w:val="22"/>
              </w:rPr>
              <w:t>2</w:t>
            </w:r>
            <w:r>
              <w:rPr>
                <w:rFonts w:hint="eastAsia" w:ascii="宋体" w:hAnsi="宋体" w:cstheme="minorBidi"/>
                <w:color w:val="000000"/>
                <w:sz w:val="22"/>
                <w:szCs w:val="22"/>
                <w:lang w:val="en-US" w:eastAsia="zh-CN"/>
              </w:rPr>
              <w:t>5</w:t>
            </w:r>
          </w:p>
        </w:tc>
        <w:tc>
          <w:tcPr>
            <w:tcW w:w="435" w:type="dxa"/>
            <w:tcBorders>
              <w:top w:val="single" w:color="4F81BD" w:sz="8" w:space="0"/>
              <w:left w:val="single" w:color="4F81BD" w:sz="8" w:space="0"/>
              <w:bottom w:val="single" w:color="4F81BD" w:sz="8" w:space="0"/>
              <w:right w:val="single" w:color="4F81BD" w:sz="8" w:space="0"/>
            </w:tcBorders>
            <w:shd w:val="clear" w:color="auto" w:fill="FFFFFF" w:themeFill="background1"/>
            <w:vAlign w:val="center"/>
          </w:tcPr>
          <w:p>
            <w:pPr>
              <w:spacing w:beforeLines="0" w:afterLines="0"/>
              <w:jc w:val="center"/>
              <w:rPr>
                <w:rFonts w:hint="eastAsia" w:asciiTheme="minorHAnsi" w:hAnsiTheme="minorHAnsi" w:eastAsiaTheme="minorEastAsia" w:cstheme="minorBidi"/>
                <w:color w:val="000000"/>
                <w:sz w:val="18"/>
                <w:szCs w:val="18"/>
                <w:lang w:val="en-US" w:eastAsia="zh-CN"/>
              </w:rPr>
            </w:pPr>
            <w:r>
              <w:rPr>
                <w:rFonts w:hint="eastAsia" w:ascii="宋体" w:hAnsi="宋体" w:cstheme="minorBidi"/>
                <w:color w:val="000000"/>
                <w:sz w:val="22"/>
                <w:szCs w:val="22"/>
                <w:lang w:val="en-US" w:eastAsia="zh-CN"/>
              </w:rPr>
              <w:t>5</w:t>
            </w:r>
          </w:p>
        </w:tc>
        <w:tc>
          <w:tcPr>
            <w:tcW w:w="525" w:type="dxa"/>
            <w:tcBorders>
              <w:top w:val="single" w:color="4F81BD" w:sz="8" w:space="0"/>
              <w:left w:val="single" w:color="4F81BD" w:sz="8" w:space="0"/>
              <w:bottom w:val="single" w:color="4F81BD" w:sz="8" w:space="0"/>
              <w:right w:val="single" w:color="4F81BD" w:sz="8" w:space="0"/>
            </w:tcBorders>
            <w:shd w:val="clear" w:color="auto" w:fill="FFFFFF" w:themeFill="background1"/>
            <w:vAlign w:val="center"/>
          </w:tcPr>
          <w:p>
            <w:pPr>
              <w:spacing w:beforeLines="0" w:afterLines="0"/>
              <w:jc w:val="center"/>
              <w:rPr>
                <w:rFonts w:hint="eastAsia" w:asciiTheme="minorHAnsi" w:hAnsiTheme="minorHAnsi" w:eastAsiaTheme="minorEastAsia" w:cstheme="minorBidi"/>
                <w:color w:val="000000"/>
                <w:szCs w:val="21"/>
                <w:lang w:val="en-US" w:eastAsia="zh-CN"/>
              </w:rPr>
            </w:pPr>
            <w:r>
              <w:rPr>
                <w:rFonts w:hint="eastAsia" w:ascii="宋体" w:hAnsi="宋体" w:eastAsiaTheme="minorEastAsia" w:cstheme="minorBidi"/>
                <w:color w:val="000000"/>
                <w:sz w:val="22"/>
                <w:szCs w:val="22"/>
              </w:rPr>
              <w:t>1</w:t>
            </w:r>
            <w:r>
              <w:rPr>
                <w:rFonts w:hint="eastAsia" w:ascii="宋体" w:hAnsi="宋体" w:cstheme="minorBidi"/>
                <w:color w:val="000000"/>
                <w:sz w:val="22"/>
                <w:szCs w:val="22"/>
                <w:lang w:val="en-US" w:eastAsia="zh-CN"/>
              </w:rPr>
              <w:t>3</w:t>
            </w:r>
          </w:p>
        </w:tc>
        <w:tc>
          <w:tcPr>
            <w:tcW w:w="630" w:type="dxa"/>
            <w:tcBorders>
              <w:top w:val="single" w:color="4F81BD" w:sz="8" w:space="0"/>
              <w:left w:val="single" w:color="4F81BD" w:sz="8" w:space="0"/>
              <w:bottom w:val="single" w:color="4F81BD" w:sz="8" w:space="0"/>
              <w:right w:val="single" w:color="4F81BD" w:sz="8" w:space="0"/>
            </w:tcBorders>
            <w:shd w:val="clear" w:color="auto" w:fill="FFFFFF" w:themeFill="background1"/>
            <w:vAlign w:val="center"/>
          </w:tcPr>
          <w:p>
            <w:pPr>
              <w:spacing w:beforeLines="0" w:afterLines="0"/>
              <w:jc w:val="center"/>
              <w:rPr>
                <w:rFonts w:hint="default" w:asciiTheme="minorHAnsi" w:hAnsiTheme="minorHAnsi" w:eastAsiaTheme="minorEastAsia" w:cstheme="minorBidi"/>
                <w:color w:val="000000"/>
                <w:szCs w:val="21"/>
                <w:lang w:val="en-US" w:eastAsia="zh-CN"/>
              </w:rPr>
            </w:pPr>
            <w:r>
              <w:rPr>
                <w:rFonts w:hint="eastAsia" w:ascii="宋体" w:hAnsi="宋体" w:cstheme="minorBidi"/>
                <w:color w:val="000000"/>
                <w:sz w:val="22"/>
                <w:szCs w:val="22"/>
                <w:lang w:val="en-US" w:eastAsia="zh-CN"/>
              </w:rPr>
              <w:t>167</w:t>
            </w:r>
          </w:p>
        </w:tc>
        <w:tc>
          <w:tcPr>
            <w:tcW w:w="653" w:type="dxa"/>
            <w:tcBorders>
              <w:top w:val="single" w:color="4F81BD" w:sz="8" w:space="0"/>
              <w:left w:val="single" w:color="4F81BD" w:sz="8" w:space="0"/>
              <w:bottom w:val="single" w:color="4F81BD" w:sz="8" w:space="0"/>
              <w:right w:val="single" w:color="4F81BD" w:sz="8" w:space="0"/>
            </w:tcBorders>
            <w:shd w:val="clear" w:color="auto" w:fill="FFFFFF" w:themeFill="background1"/>
            <w:vAlign w:val="center"/>
          </w:tcPr>
          <w:p>
            <w:pPr>
              <w:spacing w:beforeLines="0" w:afterLines="0"/>
              <w:jc w:val="center"/>
              <w:rPr>
                <w:rFonts w:hint="default" w:asciiTheme="minorHAnsi" w:hAnsiTheme="minorHAnsi" w:eastAsiaTheme="minorEastAsia" w:cstheme="minorBidi"/>
                <w:color w:val="000000"/>
                <w:szCs w:val="21"/>
                <w:lang w:val="en-US" w:eastAsia="zh-CN"/>
              </w:rPr>
            </w:pPr>
            <w:r>
              <w:rPr>
                <w:rFonts w:hint="eastAsia" w:ascii="宋体" w:hAnsi="宋体" w:cstheme="minorBidi"/>
                <w:color w:val="000000"/>
                <w:sz w:val="22"/>
                <w:szCs w:val="22"/>
                <w:lang w:val="en-US" w:eastAsia="zh-CN"/>
              </w:rPr>
              <w:t>57</w:t>
            </w:r>
          </w:p>
        </w:tc>
        <w:tc>
          <w:tcPr>
            <w:tcW w:w="709" w:type="dxa"/>
            <w:tcBorders>
              <w:top w:val="single" w:color="4F81BD" w:sz="8" w:space="0"/>
              <w:left w:val="single" w:color="4F81BD" w:sz="8" w:space="0"/>
              <w:bottom w:val="single" w:color="4F81BD" w:sz="8" w:space="0"/>
              <w:right w:val="single" w:color="4F81BD" w:sz="8" w:space="0"/>
            </w:tcBorders>
            <w:shd w:val="clear" w:color="auto" w:fill="FFFFFF" w:themeFill="background1"/>
            <w:vAlign w:val="center"/>
          </w:tcPr>
          <w:p>
            <w:pPr>
              <w:spacing w:beforeLines="0" w:afterLines="0"/>
              <w:jc w:val="center"/>
              <w:rPr>
                <w:rFonts w:hint="default" w:asciiTheme="minorHAnsi" w:hAnsiTheme="minorHAnsi" w:eastAsiaTheme="minorEastAsia" w:cstheme="minorBidi"/>
                <w:color w:val="000000"/>
                <w:szCs w:val="21"/>
                <w:lang w:val="en-US" w:eastAsia="zh-CN"/>
              </w:rPr>
            </w:pPr>
            <w:r>
              <w:rPr>
                <w:rFonts w:hint="eastAsia" w:ascii="宋体" w:hAnsi="宋体" w:cstheme="minorBidi"/>
                <w:color w:val="000000"/>
                <w:sz w:val="22"/>
                <w:szCs w:val="22"/>
                <w:lang w:val="en-US" w:eastAsia="zh-CN"/>
              </w:rPr>
              <w:t>15</w:t>
            </w:r>
          </w:p>
        </w:tc>
        <w:tc>
          <w:tcPr>
            <w:tcW w:w="709" w:type="dxa"/>
            <w:tcBorders>
              <w:top w:val="single" w:color="4F81BD" w:sz="8" w:space="0"/>
              <w:left w:val="single" w:color="4F81BD" w:sz="8" w:space="0"/>
              <w:bottom w:val="single" w:color="4F81BD" w:sz="8" w:space="0"/>
              <w:right w:val="single" w:color="4F81BD" w:sz="8" w:space="0"/>
            </w:tcBorders>
            <w:shd w:val="clear" w:color="auto" w:fill="FFFFFF" w:themeFill="background1"/>
            <w:vAlign w:val="center"/>
          </w:tcPr>
          <w:p>
            <w:pPr>
              <w:spacing w:beforeLines="0" w:afterLines="0"/>
              <w:jc w:val="center"/>
              <w:rPr>
                <w:rFonts w:hint="default" w:asciiTheme="minorHAnsi" w:hAnsiTheme="minorHAnsi" w:eastAsiaTheme="minorEastAsia" w:cstheme="minorBidi"/>
                <w:color w:val="000000"/>
                <w:szCs w:val="21"/>
                <w:lang w:val="en-US" w:eastAsia="zh-CN"/>
              </w:rPr>
            </w:pPr>
            <w:r>
              <w:rPr>
                <w:rFonts w:hint="eastAsia" w:ascii="宋体" w:hAnsi="宋体" w:cstheme="minorBidi"/>
                <w:color w:val="000000"/>
                <w:sz w:val="22"/>
                <w:szCs w:val="22"/>
                <w:lang w:val="en-US" w:eastAsia="zh-CN"/>
              </w:rPr>
              <w:t>14</w:t>
            </w:r>
          </w:p>
        </w:tc>
        <w:tc>
          <w:tcPr>
            <w:tcW w:w="708" w:type="dxa"/>
            <w:tcBorders>
              <w:top w:val="single" w:color="4F81BD" w:sz="8" w:space="0"/>
              <w:left w:val="single" w:color="4F81BD" w:sz="8" w:space="0"/>
              <w:bottom w:val="single" w:color="4F81BD" w:sz="8" w:space="0"/>
              <w:right w:val="single" w:color="4F81BD" w:sz="8" w:space="0"/>
            </w:tcBorders>
            <w:shd w:val="clear" w:color="auto" w:fill="FFFFFF" w:themeFill="background1"/>
            <w:vAlign w:val="center"/>
          </w:tcPr>
          <w:p>
            <w:pPr>
              <w:spacing w:beforeLines="0" w:afterLines="0"/>
              <w:jc w:val="center"/>
              <w:rPr>
                <w:rFonts w:hint="default" w:asciiTheme="minorHAnsi" w:hAnsiTheme="minorHAnsi" w:eastAsiaTheme="minorEastAsia" w:cstheme="minorBidi"/>
                <w:color w:val="000000"/>
                <w:szCs w:val="21"/>
                <w:lang w:val="en-US" w:eastAsia="zh-CN"/>
              </w:rPr>
            </w:pPr>
            <w:r>
              <w:rPr>
                <w:rFonts w:hint="eastAsia" w:ascii="宋体" w:hAnsi="宋体" w:cstheme="minorBidi"/>
                <w:color w:val="000000"/>
                <w:sz w:val="22"/>
                <w:szCs w:val="22"/>
                <w:lang w:val="en-US" w:eastAsia="zh-CN"/>
              </w:rPr>
              <w:t>12</w:t>
            </w:r>
          </w:p>
        </w:tc>
        <w:tc>
          <w:tcPr>
            <w:tcW w:w="471" w:type="dxa"/>
            <w:tcBorders>
              <w:top w:val="single" w:color="4F81BD" w:sz="8" w:space="0"/>
              <w:left w:val="single" w:color="4F81BD" w:sz="8" w:space="0"/>
              <w:bottom w:val="single" w:color="4F81BD" w:sz="8" w:space="0"/>
              <w:right w:val="single" w:color="4F81BD" w:sz="8" w:space="0"/>
            </w:tcBorders>
            <w:shd w:val="clear" w:color="auto" w:fill="FFFFFF" w:themeFill="background1"/>
            <w:vAlign w:val="center"/>
          </w:tcPr>
          <w:p>
            <w:pPr>
              <w:spacing w:beforeLines="0" w:afterLines="0"/>
              <w:jc w:val="center"/>
              <w:rPr>
                <w:rFonts w:hint="default" w:asciiTheme="minorHAnsi" w:hAnsiTheme="minorHAnsi" w:eastAsiaTheme="minorEastAsia" w:cstheme="minorBidi"/>
                <w:color w:val="000000"/>
                <w:szCs w:val="21"/>
                <w:lang w:val="en-US" w:eastAsia="zh-CN"/>
              </w:rPr>
            </w:pPr>
            <w:r>
              <w:rPr>
                <w:rFonts w:hint="eastAsia" w:ascii="宋体" w:hAnsi="宋体" w:cstheme="minorBidi"/>
                <w:color w:val="000000"/>
                <w:sz w:val="22"/>
                <w:szCs w:val="22"/>
                <w:lang w:val="en-US" w:eastAsia="zh-CN"/>
              </w:rPr>
              <w:t>98</w:t>
            </w:r>
          </w:p>
        </w:tc>
        <w:tc>
          <w:tcPr>
            <w:tcW w:w="645" w:type="dxa"/>
            <w:tcBorders>
              <w:top w:val="single" w:color="4F81BD" w:sz="8" w:space="0"/>
              <w:left w:val="single" w:color="4F81BD" w:sz="8" w:space="0"/>
              <w:bottom w:val="single" w:color="4F81BD" w:sz="8" w:space="0"/>
              <w:right w:val="single" w:color="4F81BD" w:sz="8" w:space="0"/>
            </w:tcBorders>
            <w:shd w:val="clear" w:color="auto" w:fill="FFFFFF" w:themeFill="background1"/>
            <w:vAlign w:val="center"/>
          </w:tcPr>
          <w:p>
            <w:pPr>
              <w:spacing w:beforeLines="0" w:afterLines="0"/>
              <w:jc w:val="center"/>
              <w:rPr>
                <w:rFonts w:hint="eastAsia" w:asciiTheme="minorHAnsi" w:hAnsiTheme="minorHAnsi" w:eastAsiaTheme="minorEastAsia" w:cstheme="minorBidi"/>
                <w:color w:val="000000"/>
                <w:szCs w:val="21"/>
                <w:lang w:eastAsia="zh-CN"/>
              </w:rPr>
            </w:pPr>
            <w:r>
              <w:rPr>
                <w:rFonts w:hint="eastAsia" w:ascii="宋体" w:hAnsi="宋体" w:eastAsiaTheme="minorEastAsia" w:cstheme="minorBidi"/>
                <w:color w:val="000000"/>
                <w:sz w:val="22"/>
                <w:szCs w:val="22"/>
              </w:rPr>
              <w:t>2</w:t>
            </w:r>
            <w:r>
              <w:rPr>
                <w:rFonts w:hint="eastAsia" w:ascii="宋体" w:hAnsi="宋体" w:cstheme="minorBidi"/>
                <w:color w:val="000000"/>
                <w:sz w:val="22"/>
                <w:szCs w:val="22"/>
                <w:lang w:val="en-US" w:eastAsia="zh-CN"/>
              </w:rPr>
              <w:t>8</w:t>
            </w:r>
          </w:p>
        </w:tc>
        <w:tc>
          <w:tcPr>
            <w:tcW w:w="675" w:type="dxa"/>
            <w:tcBorders>
              <w:top w:val="single" w:color="4F81BD" w:sz="8" w:space="0"/>
              <w:left w:val="single" w:color="4F81BD" w:sz="8" w:space="0"/>
              <w:bottom w:val="single" w:color="4F81BD" w:sz="8" w:space="0"/>
              <w:right w:val="single" w:color="4F81BD" w:sz="8" w:space="0"/>
            </w:tcBorders>
            <w:shd w:val="clear" w:color="auto" w:fill="FFFFFF" w:themeFill="background1"/>
            <w:vAlign w:val="center"/>
          </w:tcPr>
          <w:p>
            <w:pPr>
              <w:spacing w:beforeLines="0" w:afterLines="0"/>
              <w:jc w:val="center"/>
              <w:rPr>
                <w:rFonts w:hint="eastAsia" w:asciiTheme="minorHAnsi" w:hAnsiTheme="minorHAnsi" w:eastAsiaTheme="minorEastAsia" w:cstheme="minorBidi"/>
                <w:color w:val="000000"/>
                <w:szCs w:val="21"/>
                <w:lang w:val="en-US" w:eastAsia="zh-CN"/>
              </w:rPr>
            </w:pPr>
            <w:r>
              <w:rPr>
                <w:rFonts w:hint="eastAsia" w:ascii="宋体" w:hAnsi="宋体" w:eastAsiaTheme="minorEastAsia" w:cstheme="minorBidi"/>
                <w:color w:val="000000"/>
                <w:sz w:val="22"/>
                <w:szCs w:val="22"/>
              </w:rPr>
              <w:t>2</w:t>
            </w:r>
          </w:p>
        </w:tc>
        <w:tc>
          <w:tcPr>
            <w:tcW w:w="660" w:type="dxa"/>
            <w:tcBorders>
              <w:top w:val="single" w:color="4F81BD" w:sz="8" w:space="0"/>
              <w:left w:val="single" w:color="4F81BD" w:sz="8" w:space="0"/>
              <w:bottom w:val="single" w:color="4F81BD" w:sz="8" w:space="0"/>
              <w:right w:val="single" w:color="4F81BD" w:sz="8" w:space="0"/>
            </w:tcBorders>
            <w:shd w:val="clear" w:color="auto" w:fill="FFFFFF" w:themeFill="background1"/>
            <w:vAlign w:val="center"/>
          </w:tcPr>
          <w:p>
            <w:pPr>
              <w:spacing w:beforeLines="0" w:afterLines="0"/>
              <w:jc w:val="center"/>
              <w:rPr>
                <w:rFonts w:hint="eastAsia" w:asciiTheme="minorHAnsi" w:hAnsiTheme="minorHAnsi" w:eastAsiaTheme="minorEastAsia" w:cstheme="minorBidi"/>
                <w:color w:val="000000"/>
                <w:szCs w:val="21"/>
                <w:lang w:eastAsia="zh-CN"/>
              </w:rPr>
            </w:pPr>
            <w:r>
              <w:rPr>
                <w:rFonts w:hint="eastAsia" w:ascii="宋体" w:hAnsi="宋体" w:cstheme="minorBidi"/>
                <w:color w:val="000000"/>
                <w:sz w:val="22"/>
                <w:szCs w:val="22"/>
                <w:lang w:val="en-US" w:eastAsia="zh-CN"/>
              </w:rPr>
              <w:t>2</w:t>
            </w:r>
          </w:p>
        </w:tc>
        <w:tc>
          <w:tcPr>
            <w:tcW w:w="735" w:type="dxa"/>
            <w:tcBorders>
              <w:top w:val="single" w:color="4F81BD" w:sz="8" w:space="0"/>
              <w:left w:val="single" w:color="4F81BD" w:sz="8" w:space="0"/>
              <w:bottom w:val="single" w:color="4F81BD" w:sz="8" w:space="0"/>
              <w:right w:val="single" w:color="4F81BD" w:sz="8" w:space="0"/>
            </w:tcBorders>
            <w:shd w:val="clear" w:color="auto" w:fill="FFFFFF" w:themeFill="background1"/>
            <w:vAlign w:val="center"/>
          </w:tcPr>
          <w:p>
            <w:pPr>
              <w:spacing w:beforeLines="0" w:afterLines="0"/>
              <w:jc w:val="center"/>
              <w:rPr>
                <w:rFonts w:hint="eastAsia" w:asciiTheme="minorHAnsi" w:hAnsiTheme="minorHAnsi" w:eastAsiaTheme="minorEastAsia" w:cstheme="minorBidi"/>
                <w:color w:val="000000"/>
                <w:szCs w:val="21"/>
                <w:lang w:eastAsia="zh-CN"/>
              </w:rPr>
            </w:pPr>
            <w:r>
              <w:rPr>
                <w:rFonts w:hint="eastAsia" w:ascii="宋体" w:hAnsi="宋体" w:cstheme="minorBidi"/>
                <w:color w:val="000000"/>
                <w:sz w:val="22"/>
                <w:szCs w:val="22"/>
                <w:lang w:val="en-US" w:eastAsia="zh-CN"/>
              </w:rPr>
              <w:t>5</w:t>
            </w:r>
          </w:p>
        </w:tc>
        <w:tc>
          <w:tcPr>
            <w:tcW w:w="675" w:type="dxa"/>
            <w:tcBorders>
              <w:top w:val="single" w:color="4F81BD" w:sz="8" w:space="0"/>
              <w:left w:val="single" w:color="4F81BD" w:sz="8" w:space="0"/>
              <w:bottom w:val="single" w:color="4F81BD" w:sz="8" w:space="0"/>
              <w:right w:val="single" w:color="4F81BD" w:sz="8" w:space="0"/>
            </w:tcBorders>
            <w:shd w:val="clear" w:color="auto" w:fill="FFFFFF" w:themeFill="background1"/>
            <w:vAlign w:val="center"/>
          </w:tcPr>
          <w:p>
            <w:pPr>
              <w:spacing w:beforeLines="0" w:afterLines="0"/>
              <w:jc w:val="center"/>
              <w:rPr>
                <w:rFonts w:hint="default" w:asciiTheme="minorHAnsi" w:hAnsiTheme="minorHAnsi" w:eastAsiaTheme="minorEastAsia" w:cstheme="minorBidi"/>
                <w:color w:val="000000"/>
                <w:szCs w:val="21"/>
                <w:lang w:val="en-US" w:eastAsia="zh-CN"/>
              </w:rPr>
            </w:pPr>
            <w:r>
              <w:rPr>
                <w:rFonts w:hint="eastAsia" w:ascii="宋体" w:hAnsi="宋体" w:cstheme="minorBidi"/>
                <w:color w:val="000000"/>
                <w:sz w:val="22"/>
                <w:szCs w:val="22"/>
                <w:lang w:val="en-US" w:eastAsia="zh-CN"/>
              </w:rPr>
              <w:t>37</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after="0" w:line="600" w:lineRule="exact"/>
        <w:textAlignment w:val="auto"/>
        <w:rPr>
          <w:rFonts w:hint="eastAsia" w:asciiTheme="majorEastAsia" w:hAnsiTheme="majorEastAsia" w:eastAsiaTheme="majorEastAsia" w:cstheme="majorEastAsia"/>
          <w:b/>
          <w:bCs/>
          <w:sz w:val="32"/>
          <w:lang w:val="en-US" w:eastAsia="zh-CN"/>
        </w:rPr>
      </w:pPr>
      <w:r>
        <w:rPr>
          <w:rFonts w:hint="eastAsia" w:asciiTheme="majorEastAsia" w:hAnsiTheme="majorEastAsia" w:eastAsiaTheme="majorEastAsia" w:cstheme="majorEastAsia"/>
          <w:b/>
          <w:bCs/>
          <w:sz w:val="32"/>
          <w:lang w:val="en-US" w:eastAsia="zh-CN"/>
        </w:rPr>
        <w:t xml:space="preserve">   </w:t>
      </w:r>
      <w:r>
        <w:rPr>
          <w:rFonts w:hint="eastAsia" w:asciiTheme="majorEastAsia" w:hAnsiTheme="majorEastAsia" w:eastAsiaTheme="majorEastAsia" w:cstheme="majorEastAsia"/>
          <w:b/>
          <w:bCs/>
          <w:lang w:val="en-US" w:eastAsia="zh-CN"/>
        </w:rPr>
        <w:t xml:space="preserve">  </w:t>
      </w:r>
      <w:r>
        <w:rPr>
          <w:rFonts w:hint="eastAsia" w:asciiTheme="majorEastAsia" w:hAnsiTheme="majorEastAsia" w:eastAsiaTheme="majorEastAsia" w:cstheme="majorEastAsia"/>
          <w:b/>
          <w:bCs/>
          <w:sz w:val="32"/>
          <w:lang w:val="en-US" w:eastAsia="zh-CN"/>
        </w:rPr>
        <w:t>五、存在的问题及改进情况</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600" w:lineRule="exact"/>
        <w:ind w:firstLine="640" w:firstLineChars="200"/>
        <w:textAlignment w:val="auto"/>
        <w:rPr>
          <w:rFonts w:hint="eastAsia" w:ascii="仿宋" w:hAnsi="仿宋" w:eastAsia="仿宋" w:cs="仿宋"/>
          <w:sz w:val="32"/>
          <w:lang w:eastAsia="zh-CN"/>
        </w:rPr>
      </w:pPr>
      <w:r>
        <w:rPr>
          <w:rFonts w:hint="eastAsia" w:ascii="仿宋" w:hAnsi="仿宋" w:eastAsia="仿宋" w:cs="仿宋"/>
          <w:sz w:val="32"/>
          <w:lang w:val="en-US" w:eastAsia="zh-CN"/>
        </w:rPr>
        <w:t>2020年，我市</w:t>
      </w:r>
      <w:r>
        <w:rPr>
          <w:rFonts w:hint="eastAsia" w:ascii="仿宋" w:hAnsi="仿宋" w:eastAsia="仿宋" w:cs="仿宋"/>
          <w:sz w:val="32"/>
          <w:lang w:eastAsia="zh-CN"/>
        </w:rPr>
        <w:t>针对全市政务公开工作中存在的公开意识不强、公开氛围不浓、公开目录不全、公开形式不够丰富、依申请公开不够规范等问题，有针对性地采取措施进行了改进：</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600" w:lineRule="exact"/>
        <w:ind w:firstLine="640" w:firstLineChars="200"/>
        <w:textAlignment w:val="auto"/>
        <w:rPr>
          <w:rFonts w:hint="eastAsia" w:ascii="仿宋" w:hAnsi="仿宋" w:eastAsia="仿宋" w:cs="仿宋"/>
          <w:sz w:val="32"/>
          <w:lang w:eastAsia="zh-CN"/>
        </w:rPr>
      </w:pPr>
      <w:r>
        <w:rPr>
          <w:rFonts w:hint="eastAsia" w:ascii="楷体" w:hAnsi="楷体" w:eastAsia="楷体" w:cs="楷体"/>
          <w:sz w:val="32"/>
          <w:lang w:eastAsia="zh-CN"/>
        </w:rPr>
        <w:t>进一步加强组织领导。</w:t>
      </w:r>
      <w:r>
        <w:rPr>
          <w:rFonts w:hint="eastAsia" w:ascii="仿宋" w:hAnsi="仿宋" w:eastAsia="仿宋" w:cs="仿宋"/>
          <w:sz w:val="32"/>
          <w:lang w:eastAsia="zh-CN"/>
        </w:rPr>
        <w:t>政务公开是一项系统性工作，涉及政府的各个部门，涉及政府工作的各个方面，需要各级领导特别是主要领导高度重视，才能使政务公开工作全面开展。对此，我市顶层推动，市委、市政府领导多次过问并作出批示、提出要求，利用各种场合予以强调，同时要求各级政府常务会、部门办公会进行专题研究，为政务公开工作提供了有力组织保障，使工作得以快速推动。</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600" w:lineRule="exact"/>
        <w:ind w:firstLine="640" w:firstLineChars="200"/>
        <w:textAlignment w:val="auto"/>
        <w:rPr>
          <w:rFonts w:hint="eastAsia" w:ascii="仿宋" w:hAnsi="仿宋" w:eastAsia="仿宋" w:cs="仿宋"/>
          <w:sz w:val="32"/>
          <w:lang w:eastAsia="zh-CN"/>
        </w:rPr>
      </w:pPr>
      <w:r>
        <w:rPr>
          <w:rFonts w:hint="eastAsia" w:ascii="楷体" w:hAnsi="楷体" w:eastAsia="楷体" w:cs="楷体"/>
          <w:sz w:val="32"/>
          <w:lang w:eastAsia="zh-CN"/>
        </w:rPr>
        <w:t>进一步提升公开意识。</w:t>
      </w:r>
      <w:r>
        <w:rPr>
          <w:rFonts w:hint="eastAsia" w:ascii="仿宋" w:hAnsi="仿宋" w:eastAsia="仿宋" w:cs="仿宋"/>
          <w:sz w:val="32"/>
          <w:lang w:eastAsia="zh-CN"/>
        </w:rPr>
        <w:t>政务公开需要每一名政府工作人员广泛参与，所有政府工作人员都树立强烈的公开意识，才能保证政务公开全面、健康和可持续开展。对此，我市推动将政务公开纳入领导干部学法内容和全体公务员培训内容，加强公开系统工作人员的业务培训，推动了工作深入开展。</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600" w:lineRule="exact"/>
        <w:ind w:firstLine="640" w:firstLineChars="200"/>
        <w:textAlignment w:val="auto"/>
        <w:rPr>
          <w:rFonts w:hint="eastAsia" w:ascii="仿宋" w:hAnsi="仿宋" w:eastAsia="仿宋" w:cs="仿宋"/>
          <w:sz w:val="32"/>
          <w:lang w:eastAsia="zh-CN"/>
        </w:rPr>
      </w:pPr>
      <w:r>
        <w:rPr>
          <w:rFonts w:hint="eastAsia" w:ascii="楷体" w:hAnsi="楷体" w:eastAsia="楷体" w:cs="楷体"/>
          <w:sz w:val="32"/>
          <w:lang w:eastAsia="zh-CN"/>
        </w:rPr>
        <w:t>进一步完善公开目录。</w:t>
      </w:r>
      <w:r>
        <w:rPr>
          <w:rFonts w:hint="eastAsia" w:ascii="仿宋" w:hAnsi="仿宋" w:eastAsia="仿宋" w:cs="仿宋"/>
          <w:sz w:val="32"/>
          <w:lang w:eastAsia="zh-CN"/>
        </w:rPr>
        <w:t>只有将公开事项梳理清楚，形成完整的公开目录，并及时进行动态调整，才能真正做到“应公开，尽公开”。对此，我市以基层“两化”建设为契机，专门印发工作方案，开展了一轮最大范围、最大力度的目录梳理，</w:t>
      </w:r>
      <w:r>
        <w:rPr>
          <w:rFonts w:hint="eastAsia" w:ascii="仿宋" w:hAnsi="仿宋" w:eastAsia="仿宋" w:cs="仿宋"/>
          <w:sz w:val="32"/>
          <w:lang w:val="en-US" w:eastAsia="zh-CN"/>
        </w:rPr>
        <w:t>公开范围和深度大为改观。</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600" w:lineRule="exact"/>
        <w:ind w:firstLine="640" w:firstLineChars="200"/>
        <w:textAlignment w:val="auto"/>
        <w:rPr>
          <w:rFonts w:hint="eastAsia" w:ascii="仿宋" w:hAnsi="仿宋" w:eastAsia="仿宋" w:cs="仿宋"/>
          <w:sz w:val="32"/>
          <w:lang w:eastAsia="zh-CN"/>
        </w:rPr>
      </w:pPr>
      <w:r>
        <w:rPr>
          <w:rFonts w:hint="eastAsia" w:ascii="楷体" w:hAnsi="楷体" w:eastAsia="楷体" w:cs="楷体"/>
          <w:sz w:val="32"/>
          <w:lang w:val="en-US" w:eastAsia="zh-CN"/>
        </w:rPr>
        <w:t>进一步打造公开平台。</w:t>
      </w:r>
      <w:r>
        <w:rPr>
          <w:rFonts w:hint="eastAsia" w:ascii="仿宋" w:hAnsi="仿宋" w:eastAsia="仿宋" w:cs="仿宋"/>
          <w:sz w:val="32"/>
          <w:lang w:val="en-US" w:eastAsia="zh-CN"/>
        </w:rPr>
        <w:t>打造好公开平台，才能扩大信息传播范围，增加信息受众。2020年我市重点建设全市统一的公开平台，覆盖市、区县、镇（街道）三级共532个单位，为政府信息公开提供了平台保障。</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600" w:lineRule="exact"/>
        <w:ind w:firstLine="640" w:firstLineChars="200"/>
        <w:textAlignment w:val="auto"/>
        <w:rPr>
          <w:rFonts w:hint="default" w:ascii="仿宋" w:hAnsi="仿宋" w:eastAsia="仿宋" w:cs="仿宋"/>
          <w:sz w:val="32"/>
          <w:lang w:val="en-US" w:eastAsia="zh-CN"/>
        </w:rPr>
      </w:pPr>
      <w:r>
        <w:rPr>
          <w:rFonts w:hint="eastAsia" w:ascii="楷体" w:hAnsi="楷体" w:eastAsia="楷体" w:cs="楷体"/>
          <w:sz w:val="32"/>
          <w:lang w:eastAsia="zh-CN"/>
        </w:rPr>
        <w:t>进一步强化监督检查。</w:t>
      </w:r>
      <w:r>
        <w:rPr>
          <w:rFonts w:hint="eastAsia" w:ascii="仿宋" w:hAnsi="仿宋" w:eastAsia="仿宋" w:cs="仿宋"/>
          <w:sz w:val="32"/>
          <w:lang w:eastAsia="zh-CN"/>
        </w:rPr>
        <w:t>政务公开事项繁多，工作稍微松懈就会出现公开不及时、不到位的情形。对此，我市通过加强日常检查，每月通报问题，开展三方评估，纳入公开考核，极大地提升了各级各部门做好政务公开工作的主动性、规范性，收到良好效果。</w:t>
      </w:r>
      <w:r>
        <w:rPr>
          <w:rFonts w:hint="eastAsia" w:ascii="仿宋" w:hAnsi="仿宋" w:eastAsia="仿宋" w:cs="仿宋"/>
          <w:sz w:val="32"/>
          <w:lang w:val="en-US" w:eastAsia="zh-CN"/>
        </w:rPr>
        <w:t xml:space="preserve">    </w:t>
      </w:r>
    </w:p>
    <w:p>
      <w:pPr>
        <w:keepNext w:val="0"/>
        <w:keepLines w:val="0"/>
        <w:pageBreakBefore w:val="0"/>
        <w:widowControl/>
        <w:numPr>
          <w:ilvl w:val="0"/>
          <w:numId w:val="5"/>
        </w:numPr>
        <w:kinsoku/>
        <w:wordWrap/>
        <w:overflowPunct/>
        <w:topLinePunct w:val="0"/>
        <w:autoSpaceDE/>
        <w:autoSpaceDN/>
        <w:bidi w:val="0"/>
        <w:adjustRightInd w:val="0"/>
        <w:snapToGrid w:val="0"/>
        <w:spacing w:after="0" w:line="600" w:lineRule="exact"/>
        <w:ind w:left="640" w:leftChars="0" w:firstLine="0" w:firstLineChars="0"/>
        <w:textAlignment w:val="auto"/>
        <w:rPr>
          <w:rFonts w:hint="eastAsia" w:asciiTheme="majorEastAsia" w:hAnsiTheme="majorEastAsia" w:eastAsiaTheme="majorEastAsia" w:cstheme="majorEastAsia"/>
          <w:b/>
          <w:bCs/>
          <w:sz w:val="32"/>
          <w:lang w:val="en-US" w:eastAsia="zh-CN"/>
        </w:rPr>
      </w:pPr>
      <w:r>
        <w:rPr>
          <w:rFonts w:hint="eastAsia" w:asciiTheme="majorEastAsia" w:hAnsiTheme="majorEastAsia" w:eastAsiaTheme="majorEastAsia" w:cstheme="majorEastAsia"/>
          <w:b/>
          <w:bCs/>
          <w:sz w:val="32"/>
          <w:lang w:val="en-US" w:eastAsia="zh-CN"/>
        </w:rPr>
        <w:t>其他需要报告的事项</w:t>
      </w:r>
    </w:p>
    <w:p>
      <w:pPr>
        <w:numPr>
          <w:ilvl w:val="0"/>
          <w:numId w:val="6"/>
        </w:numPr>
        <w:ind w:left="-10" w:firstLine="640"/>
        <w:jc w:val="left"/>
        <w:outlineLvl w:val="0"/>
        <w:rPr>
          <w:rFonts w:ascii="仿宋" w:hAnsi="仿宋" w:eastAsia="仿宋" w:cs="仿宋"/>
          <w:bCs/>
          <w:sz w:val="32"/>
          <w:szCs w:val="32"/>
        </w:rPr>
      </w:pPr>
      <w:r>
        <w:rPr>
          <w:rFonts w:hint="eastAsia" w:ascii="仿宋" w:hAnsi="仿宋" w:eastAsia="仿宋" w:cs="仿宋"/>
          <w:bCs/>
          <w:sz w:val="32"/>
          <w:szCs w:val="32"/>
        </w:rPr>
        <w:t>本报告统计</w:t>
      </w:r>
      <w:r>
        <w:rPr>
          <w:rFonts w:hint="eastAsia" w:ascii="仿宋" w:hAnsi="仿宋" w:eastAsia="仿宋" w:cs="仿宋"/>
          <w:bCs/>
          <w:sz w:val="32"/>
          <w:szCs w:val="32"/>
          <w:lang w:eastAsia="zh-CN"/>
        </w:rPr>
        <w:t>表中的</w:t>
      </w:r>
      <w:r>
        <w:rPr>
          <w:rFonts w:hint="eastAsia" w:ascii="仿宋" w:hAnsi="仿宋" w:eastAsia="仿宋" w:cs="仿宋"/>
          <w:bCs/>
          <w:sz w:val="32"/>
          <w:szCs w:val="32"/>
        </w:rPr>
        <w:t>数据含5区3县人民政府，高新区、经济开发区、文昌湖区管委会3个市政府派出机构，统计数据不含驻淄中央、省属垂直单位</w:t>
      </w:r>
      <w:r>
        <w:rPr>
          <w:rFonts w:hint="eastAsia" w:ascii="仿宋" w:hAnsi="仿宋" w:eastAsia="仿宋" w:cs="仿宋"/>
          <w:bCs/>
          <w:sz w:val="32"/>
          <w:szCs w:val="32"/>
          <w:lang w:val="en-US" w:eastAsia="zh-CN"/>
        </w:rPr>
        <w:t>。</w:t>
      </w:r>
    </w:p>
    <w:p>
      <w:pPr>
        <w:numPr>
          <w:ilvl w:val="0"/>
          <w:numId w:val="6"/>
        </w:numPr>
        <w:ind w:left="-10" w:firstLine="640"/>
        <w:jc w:val="left"/>
        <w:outlineLvl w:val="0"/>
        <w:rPr>
          <w:rFonts w:ascii="仿宋" w:hAnsi="仿宋" w:eastAsia="仿宋" w:cs="仿宋"/>
          <w:bCs/>
          <w:sz w:val="32"/>
          <w:szCs w:val="32"/>
        </w:rPr>
      </w:pPr>
      <w:r>
        <w:rPr>
          <w:rFonts w:hint="eastAsia" w:ascii="仿宋" w:hAnsi="仿宋" w:eastAsia="仿宋" w:cs="仿宋"/>
          <w:bCs/>
          <w:sz w:val="32"/>
          <w:szCs w:val="32"/>
          <w:lang w:val="en-US" w:eastAsia="zh-CN"/>
        </w:rPr>
        <w:t>因高新区机构改革原因暂未参加全市统一的政府信息公开平台建设，532家完成公开平台建设的行政事业单位中不含高新区管委会及其所属机构。</w:t>
      </w:r>
    </w:p>
    <w:p>
      <w:pPr>
        <w:numPr>
          <w:ilvl w:val="0"/>
          <w:numId w:val="6"/>
        </w:numPr>
        <w:ind w:left="-10" w:firstLine="640"/>
        <w:jc w:val="left"/>
        <w:outlineLvl w:val="0"/>
        <w:rPr>
          <w:rFonts w:ascii="仿宋" w:hAnsi="仿宋" w:eastAsia="仿宋" w:cs="仿宋"/>
          <w:bCs/>
          <w:sz w:val="32"/>
          <w:szCs w:val="32"/>
        </w:rPr>
      </w:pPr>
      <w:r>
        <w:rPr>
          <w:rFonts w:hint="eastAsia" w:ascii="仿宋" w:hAnsi="仿宋" w:eastAsia="仿宋" w:cs="仿宋"/>
          <w:bCs/>
          <w:sz w:val="32"/>
          <w:szCs w:val="32"/>
        </w:rPr>
        <w:t>本报告所列数据可能因四舍五入原因与数据直接相加之和存在尾数差异。</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600" w:lineRule="exact"/>
        <w:ind w:left="640" w:leftChars="0"/>
        <w:textAlignment w:val="auto"/>
        <w:rPr>
          <w:rFonts w:hint="default" w:ascii="仿宋" w:hAnsi="仿宋" w:eastAsia="仿宋" w:cs="仿宋"/>
          <w:sz w:val="32"/>
          <w:lang w:val="en-US" w:eastAsia="zh-CN"/>
        </w:rPr>
      </w:pPr>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楷体简体">
    <w:panose1 w:val="02000000000000000000"/>
    <w:charset w:val="86"/>
    <w:family w:val="auto"/>
    <w:pitch w:val="default"/>
    <w:sig w:usb0="A00002BF" w:usb1="184F6CFA" w:usb2="00000012"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2DWsU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2zYNaxQCAAAV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3B2003"/>
    <w:multiLevelType w:val="singleLevel"/>
    <w:tmpl w:val="863B2003"/>
    <w:lvl w:ilvl="0" w:tentative="0">
      <w:start w:val="6"/>
      <w:numFmt w:val="chineseCounting"/>
      <w:suff w:val="nothing"/>
      <w:lvlText w:val="%1、"/>
      <w:lvlJc w:val="left"/>
      <w:pPr>
        <w:ind w:left="640" w:leftChars="0" w:firstLine="0" w:firstLineChars="0"/>
      </w:pPr>
      <w:rPr>
        <w:rFonts w:hint="eastAsia"/>
      </w:rPr>
    </w:lvl>
  </w:abstractNum>
  <w:abstractNum w:abstractNumId="1">
    <w:nsid w:val="9F1768ED"/>
    <w:multiLevelType w:val="singleLevel"/>
    <w:tmpl w:val="9F1768ED"/>
    <w:lvl w:ilvl="0" w:tentative="0">
      <w:start w:val="1"/>
      <w:numFmt w:val="decimalFullWidth"/>
      <w:suff w:val="nothing"/>
      <w:lvlText w:val="%1、"/>
      <w:lvlJc w:val="left"/>
      <w:rPr>
        <w:rFonts w:hint="eastAsia"/>
      </w:rPr>
    </w:lvl>
  </w:abstractNum>
  <w:abstractNum w:abstractNumId="2">
    <w:nsid w:val="A200B2AD"/>
    <w:multiLevelType w:val="singleLevel"/>
    <w:tmpl w:val="A200B2AD"/>
    <w:lvl w:ilvl="0" w:tentative="0">
      <w:start w:val="1"/>
      <w:numFmt w:val="chineseCounting"/>
      <w:suff w:val="nothing"/>
      <w:lvlText w:val="（%1）"/>
      <w:lvlJc w:val="left"/>
      <w:rPr>
        <w:rFonts w:hint="eastAsia" w:ascii="方正楷体简体" w:hAnsi="方正楷体简体" w:eastAsia="方正楷体简体" w:cs="方正楷体简体"/>
        <w:sz w:val="32"/>
        <w:szCs w:val="32"/>
      </w:rPr>
    </w:lvl>
  </w:abstractNum>
  <w:abstractNum w:abstractNumId="3">
    <w:nsid w:val="D56A57D4"/>
    <w:multiLevelType w:val="singleLevel"/>
    <w:tmpl w:val="D56A57D4"/>
    <w:lvl w:ilvl="0" w:tentative="0">
      <w:start w:val="1"/>
      <w:numFmt w:val="chineseCounting"/>
      <w:suff w:val="nothing"/>
      <w:lvlText w:val="（%1）"/>
      <w:lvlJc w:val="left"/>
      <w:pPr>
        <w:ind w:left="640" w:firstLine="0"/>
      </w:pPr>
      <w:rPr>
        <w:rFonts w:hint="eastAsia"/>
      </w:rPr>
    </w:lvl>
  </w:abstractNum>
  <w:abstractNum w:abstractNumId="4">
    <w:nsid w:val="41875D13"/>
    <w:multiLevelType w:val="singleLevel"/>
    <w:tmpl w:val="41875D13"/>
    <w:lvl w:ilvl="0" w:tentative="0">
      <w:start w:val="4"/>
      <w:numFmt w:val="chineseCounting"/>
      <w:suff w:val="nothing"/>
      <w:lvlText w:val="%1、"/>
      <w:lvlJc w:val="left"/>
      <w:rPr>
        <w:rFonts w:hint="eastAsia"/>
      </w:rPr>
    </w:lvl>
  </w:abstractNum>
  <w:abstractNum w:abstractNumId="5">
    <w:nsid w:val="60A10519"/>
    <w:multiLevelType w:val="singleLevel"/>
    <w:tmpl w:val="60A10519"/>
    <w:lvl w:ilvl="0" w:tentative="0">
      <w:start w:val="1"/>
      <w:numFmt w:val="chineseCounting"/>
      <w:suff w:val="nothing"/>
      <w:lvlText w:val="（%1）"/>
      <w:lvlJc w:val="left"/>
      <w:rPr>
        <w:rFonts w:hint="eastAsia" w:ascii="方正楷体简体" w:hAnsi="方正楷体简体" w:eastAsia="方正楷体简体" w:cs="方正楷体简体"/>
      </w:rPr>
    </w:lvl>
  </w:abstractNum>
  <w:num w:numId="1">
    <w:abstractNumId w:val="2"/>
  </w:num>
  <w:num w:numId="2">
    <w:abstractNumId w:val="1"/>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263A57"/>
    <w:rsid w:val="0164090E"/>
    <w:rsid w:val="02F373F7"/>
    <w:rsid w:val="037679E8"/>
    <w:rsid w:val="04057F70"/>
    <w:rsid w:val="041310BA"/>
    <w:rsid w:val="041B29B8"/>
    <w:rsid w:val="041E140A"/>
    <w:rsid w:val="04225912"/>
    <w:rsid w:val="04B4534B"/>
    <w:rsid w:val="054D0DE2"/>
    <w:rsid w:val="05D219CC"/>
    <w:rsid w:val="065E0198"/>
    <w:rsid w:val="067504A2"/>
    <w:rsid w:val="06C214D7"/>
    <w:rsid w:val="06C82760"/>
    <w:rsid w:val="070A22C2"/>
    <w:rsid w:val="07A639FA"/>
    <w:rsid w:val="07B437C6"/>
    <w:rsid w:val="07B541FC"/>
    <w:rsid w:val="086A6DBF"/>
    <w:rsid w:val="08B20EF0"/>
    <w:rsid w:val="08DE6DBE"/>
    <w:rsid w:val="092F007B"/>
    <w:rsid w:val="099D3429"/>
    <w:rsid w:val="09B61220"/>
    <w:rsid w:val="0A9A7EEF"/>
    <w:rsid w:val="0AAC207D"/>
    <w:rsid w:val="0B131555"/>
    <w:rsid w:val="0B135AE6"/>
    <w:rsid w:val="0C6809CA"/>
    <w:rsid w:val="0CBD6881"/>
    <w:rsid w:val="0CF9739F"/>
    <w:rsid w:val="0D0527FD"/>
    <w:rsid w:val="0D1378EC"/>
    <w:rsid w:val="0E01544E"/>
    <w:rsid w:val="0E4D2B16"/>
    <w:rsid w:val="0FB45090"/>
    <w:rsid w:val="0FB57D32"/>
    <w:rsid w:val="0FCB5FAB"/>
    <w:rsid w:val="10F72B59"/>
    <w:rsid w:val="11B268AA"/>
    <w:rsid w:val="121D3D54"/>
    <w:rsid w:val="122F2B5E"/>
    <w:rsid w:val="123E599E"/>
    <w:rsid w:val="12616EA6"/>
    <w:rsid w:val="12A93238"/>
    <w:rsid w:val="13195018"/>
    <w:rsid w:val="13C21BD9"/>
    <w:rsid w:val="147A5635"/>
    <w:rsid w:val="14CC7CB4"/>
    <w:rsid w:val="154D538B"/>
    <w:rsid w:val="160D3D7F"/>
    <w:rsid w:val="16206297"/>
    <w:rsid w:val="166153DD"/>
    <w:rsid w:val="172C63B3"/>
    <w:rsid w:val="175B24BF"/>
    <w:rsid w:val="185C00D3"/>
    <w:rsid w:val="18C0286C"/>
    <w:rsid w:val="18C67097"/>
    <w:rsid w:val="18EC2699"/>
    <w:rsid w:val="19862F1D"/>
    <w:rsid w:val="1A0F66A4"/>
    <w:rsid w:val="1A2169D5"/>
    <w:rsid w:val="1A434FCB"/>
    <w:rsid w:val="1A666BCC"/>
    <w:rsid w:val="1A670FE3"/>
    <w:rsid w:val="1AFA11A0"/>
    <w:rsid w:val="1C692F4A"/>
    <w:rsid w:val="1CBC40C2"/>
    <w:rsid w:val="1D3A731D"/>
    <w:rsid w:val="1D64041B"/>
    <w:rsid w:val="1D782684"/>
    <w:rsid w:val="1DE47649"/>
    <w:rsid w:val="1E027D06"/>
    <w:rsid w:val="1E3042F9"/>
    <w:rsid w:val="1E395704"/>
    <w:rsid w:val="1F410271"/>
    <w:rsid w:val="1F5836DE"/>
    <w:rsid w:val="1FC71BB0"/>
    <w:rsid w:val="20ED6628"/>
    <w:rsid w:val="2137546B"/>
    <w:rsid w:val="213A4D23"/>
    <w:rsid w:val="21856323"/>
    <w:rsid w:val="22032FCB"/>
    <w:rsid w:val="223B0972"/>
    <w:rsid w:val="22A23B99"/>
    <w:rsid w:val="22ED13AE"/>
    <w:rsid w:val="23F52DFA"/>
    <w:rsid w:val="24335BD3"/>
    <w:rsid w:val="2435692B"/>
    <w:rsid w:val="248E3FC5"/>
    <w:rsid w:val="249B24B0"/>
    <w:rsid w:val="249C5794"/>
    <w:rsid w:val="258A128F"/>
    <w:rsid w:val="25BE7824"/>
    <w:rsid w:val="25DF63F9"/>
    <w:rsid w:val="26062C2A"/>
    <w:rsid w:val="26245D54"/>
    <w:rsid w:val="264E08D5"/>
    <w:rsid w:val="26625220"/>
    <w:rsid w:val="2675722B"/>
    <w:rsid w:val="26A0116B"/>
    <w:rsid w:val="26F17682"/>
    <w:rsid w:val="2720648D"/>
    <w:rsid w:val="272B60EB"/>
    <w:rsid w:val="27677993"/>
    <w:rsid w:val="27B44F74"/>
    <w:rsid w:val="27F101EF"/>
    <w:rsid w:val="27F661C1"/>
    <w:rsid w:val="288A4508"/>
    <w:rsid w:val="28A83AD3"/>
    <w:rsid w:val="28AF43A5"/>
    <w:rsid w:val="28CC50F8"/>
    <w:rsid w:val="28FD686C"/>
    <w:rsid w:val="290E7194"/>
    <w:rsid w:val="295538E9"/>
    <w:rsid w:val="298F3425"/>
    <w:rsid w:val="29C35CF7"/>
    <w:rsid w:val="29D97416"/>
    <w:rsid w:val="29DA4EA7"/>
    <w:rsid w:val="2A1872E9"/>
    <w:rsid w:val="2B7A20C2"/>
    <w:rsid w:val="2B8811D9"/>
    <w:rsid w:val="2C55251D"/>
    <w:rsid w:val="2CB43DCE"/>
    <w:rsid w:val="2CB6123B"/>
    <w:rsid w:val="2D683EDB"/>
    <w:rsid w:val="2D833ED1"/>
    <w:rsid w:val="2D8B1DC3"/>
    <w:rsid w:val="2ECD4621"/>
    <w:rsid w:val="2EF41C02"/>
    <w:rsid w:val="2EF85075"/>
    <w:rsid w:val="2F0D125C"/>
    <w:rsid w:val="2F3522BE"/>
    <w:rsid w:val="2FD25874"/>
    <w:rsid w:val="30097CC2"/>
    <w:rsid w:val="30570490"/>
    <w:rsid w:val="313C68CD"/>
    <w:rsid w:val="3167041F"/>
    <w:rsid w:val="31E05221"/>
    <w:rsid w:val="323706F0"/>
    <w:rsid w:val="32DE397F"/>
    <w:rsid w:val="332C7979"/>
    <w:rsid w:val="33485539"/>
    <w:rsid w:val="337E6FA3"/>
    <w:rsid w:val="33A02D9D"/>
    <w:rsid w:val="33C1123B"/>
    <w:rsid w:val="33FD69DD"/>
    <w:rsid w:val="34204409"/>
    <w:rsid w:val="3434514E"/>
    <w:rsid w:val="348807AD"/>
    <w:rsid w:val="3593507A"/>
    <w:rsid w:val="36107E62"/>
    <w:rsid w:val="36317C7B"/>
    <w:rsid w:val="36A657C4"/>
    <w:rsid w:val="39A911B6"/>
    <w:rsid w:val="3A0B483D"/>
    <w:rsid w:val="3A424292"/>
    <w:rsid w:val="3ACE507C"/>
    <w:rsid w:val="3B4104CC"/>
    <w:rsid w:val="3BD37E89"/>
    <w:rsid w:val="3BD45F02"/>
    <w:rsid w:val="3BD8722B"/>
    <w:rsid w:val="3C83432E"/>
    <w:rsid w:val="3CBE65B7"/>
    <w:rsid w:val="3D9D5076"/>
    <w:rsid w:val="3E577751"/>
    <w:rsid w:val="3F553156"/>
    <w:rsid w:val="3FD76E7D"/>
    <w:rsid w:val="40783463"/>
    <w:rsid w:val="40A15170"/>
    <w:rsid w:val="41765FDE"/>
    <w:rsid w:val="41890549"/>
    <w:rsid w:val="41B34369"/>
    <w:rsid w:val="42913828"/>
    <w:rsid w:val="42D912C3"/>
    <w:rsid w:val="42F564B0"/>
    <w:rsid w:val="43451B0A"/>
    <w:rsid w:val="43487526"/>
    <w:rsid w:val="43605EE5"/>
    <w:rsid w:val="43850CF0"/>
    <w:rsid w:val="443314EC"/>
    <w:rsid w:val="44A4717C"/>
    <w:rsid w:val="452E6F09"/>
    <w:rsid w:val="460656F3"/>
    <w:rsid w:val="47321A4F"/>
    <w:rsid w:val="479B06BE"/>
    <w:rsid w:val="47D34A22"/>
    <w:rsid w:val="48843384"/>
    <w:rsid w:val="48E37EFD"/>
    <w:rsid w:val="49B60086"/>
    <w:rsid w:val="4AB5582D"/>
    <w:rsid w:val="4C50654D"/>
    <w:rsid w:val="4C987619"/>
    <w:rsid w:val="4CA56AA5"/>
    <w:rsid w:val="4CED19A8"/>
    <w:rsid w:val="4D0A3197"/>
    <w:rsid w:val="4D267802"/>
    <w:rsid w:val="4DD948E2"/>
    <w:rsid w:val="4E191E23"/>
    <w:rsid w:val="4E4C372B"/>
    <w:rsid w:val="4EDF695F"/>
    <w:rsid w:val="4FEA1836"/>
    <w:rsid w:val="506F776F"/>
    <w:rsid w:val="50D74CC1"/>
    <w:rsid w:val="51D157B4"/>
    <w:rsid w:val="51DA2F06"/>
    <w:rsid w:val="51F83553"/>
    <w:rsid w:val="52605C57"/>
    <w:rsid w:val="52771BBE"/>
    <w:rsid w:val="5296621A"/>
    <w:rsid w:val="52D574DC"/>
    <w:rsid w:val="52F21109"/>
    <w:rsid w:val="534E6CAA"/>
    <w:rsid w:val="546F14E1"/>
    <w:rsid w:val="54BC3981"/>
    <w:rsid w:val="55693CA5"/>
    <w:rsid w:val="567F1055"/>
    <w:rsid w:val="569E0A15"/>
    <w:rsid w:val="58657A14"/>
    <w:rsid w:val="588150E1"/>
    <w:rsid w:val="588510FC"/>
    <w:rsid w:val="58865D5E"/>
    <w:rsid w:val="58B571BC"/>
    <w:rsid w:val="58CE457C"/>
    <w:rsid w:val="58ED4389"/>
    <w:rsid w:val="59DD58D5"/>
    <w:rsid w:val="5A424BE4"/>
    <w:rsid w:val="5A7B4115"/>
    <w:rsid w:val="5C3D4015"/>
    <w:rsid w:val="5C4D604A"/>
    <w:rsid w:val="5C5B3D20"/>
    <w:rsid w:val="5CCA2583"/>
    <w:rsid w:val="5CEC2ABF"/>
    <w:rsid w:val="5D28008C"/>
    <w:rsid w:val="5D65553A"/>
    <w:rsid w:val="5D86069E"/>
    <w:rsid w:val="5DCB1A75"/>
    <w:rsid w:val="5E9E540E"/>
    <w:rsid w:val="5EC038E4"/>
    <w:rsid w:val="5F4A52E9"/>
    <w:rsid w:val="5F756FF4"/>
    <w:rsid w:val="602C45ED"/>
    <w:rsid w:val="6151287D"/>
    <w:rsid w:val="617427E3"/>
    <w:rsid w:val="61DB5D93"/>
    <w:rsid w:val="6289063A"/>
    <w:rsid w:val="62A77C10"/>
    <w:rsid w:val="62BA6297"/>
    <w:rsid w:val="62F47079"/>
    <w:rsid w:val="633C1D1C"/>
    <w:rsid w:val="641904E3"/>
    <w:rsid w:val="646348EE"/>
    <w:rsid w:val="64FB4EFA"/>
    <w:rsid w:val="65875688"/>
    <w:rsid w:val="661564C4"/>
    <w:rsid w:val="66515EA9"/>
    <w:rsid w:val="674B1042"/>
    <w:rsid w:val="67F05BE1"/>
    <w:rsid w:val="684A73EB"/>
    <w:rsid w:val="686602CD"/>
    <w:rsid w:val="68DA632A"/>
    <w:rsid w:val="69F22D99"/>
    <w:rsid w:val="6A465165"/>
    <w:rsid w:val="6A680E4D"/>
    <w:rsid w:val="6A936027"/>
    <w:rsid w:val="6A9D567C"/>
    <w:rsid w:val="6C4E0012"/>
    <w:rsid w:val="6CB936F3"/>
    <w:rsid w:val="6D21608E"/>
    <w:rsid w:val="6D4348D0"/>
    <w:rsid w:val="6DED5535"/>
    <w:rsid w:val="6EB16FBA"/>
    <w:rsid w:val="6F4F23AE"/>
    <w:rsid w:val="6F902209"/>
    <w:rsid w:val="6FE8545B"/>
    <w:rsid w:val="709463F1"/>
    <w:rsid w:val="70E61556"/>
    <w:rsid w:val="70EC1806"/>
    <w:rsid w:val="713524D5"/>
    <w:rsid w:val="71656BC0"/>
    <w:rsid w:val="71656F66"/>
    <w:rsid w:val="72234168"/>
    <w:rsid w:val="722705DE"/>
    <w:rsid w:val="72580A30"/>
    <w:rsid w:val="733A4BCF"/>
    <w:rsid w:val="73E64922"/>
    <w:rsid w:val="746A363B"/>
    <w:rsid w:val="749E1C85"/>
    <w:rsid w:val="755F4719"/>
    <w:rsid w:val="76D46431"/>
    <w:rsid w:val="771C7C91"/>
    <w:rsid w:val="773941D0"/>
    <w:rsid w:val="777E0E8E"/>
    <w:rsid w:val="780D3C8D"/>
    <w:rsid w:val="78116BDE"/>
    <w:rsid w:val="78C97263"/>
    <w:rsid w:val="791F2A3C"/>
    <w:rsid w:val="799067B6"/>
    <w:rsid w:val="7A4F7F6C"/>
    <w:rsid w:val="7A682D7C"/>
    <w:rsid w:val="7AA85D67"/>
    <w:rsid w:val="7AF52478"/>
    <w:rsid w:val="7B310571"/>
    <w:rsid w:val="7B3B0359"/>
    <w:rsid w:val="7B49510D"/>
    <w:rsid w:val="7BC871D3"/>
    <w:rsid w:val="7C49359E"/>
    <w:rsid w:val="7CC2487C"/>
    <w:rsid w:val="7D09625D"/>
    <w:rsid w:val="7D412A2C"/>
    <w:rsid w:val="7D4A29FF"/>
    <w:rsid w:val="7D53675B"/>
    <w:rsid w:val="7D886DC5"/>
    <w:rsid w:val="7E063718"/>
    <w:rsid w:val="7E8C1F43"/>
    <w:rsid w:val="7F5A57E9"/>
    <w:rsid w:val="7FD454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rPr>
  </w:style>
  <w:style w:type="paragraph" w:styleId="3">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font11"/>
    <w:basedOn w:val="7"/>
    <w:qFormat/>
    <w:uiPriority w:val="0"/>
    <w:rPr>
      <w:rFonts w:hint="eastAsia" w:ascii="宋体" w:hAnsi="宋体" w:eastAsia="宋体" w:cs="宋体"/>
      <w:color w:val="000000"/>
      <w:sz w:val="21"/>
      <w:szCs w:val="21"/>
      <w:u w:val="none"/>
    </w:rPr>
  </w:style>
  <w:style w:type="character" w:customStyle="1" w:styleId="9">
    <w:name w:val="font01"/>
    <w:basedOn w:val="7"/>
    <w:qFormat/>
    <w:uiPriority w:val="0"/>
    <w:rPr>
      <w:rFonts w:ascii="Arial" w:hAnsi="Arial" w:cs="Arial"/>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chart" Target="charts/chart5.xml"/><Relationship Id="rId15" Type="http://schemas.openxmlformats.org/officeDocument/2006/relationships/chart" Target="charts/chart4.xml"/><Relationship Id="rId14" Type="http://schemas.openxmlformats.org/officeDocument/2006/relationships/chart" Target="charts/chart3.xml"/><Relationship Id="rId13" Type="http://schemas.openxmlformats.org/officeDocument/2006/relationships/chart" Target="charts/chart2.xml"/><Relationship Id="rId12" Type="http://schemas.openxmlformats.org/officeDocument/2006/relationships/chart" Target="charts/chart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cap="all" spc="150" baseline="0">
                <a:solidFill>
                  <a:schemeClr val="tx1">
                    <a:lumMod val="50000"/>
                    <a:lumOff val="50000"/>
                  </a:schemeClr>
                </a:solidFill>
                <a:latin typeface="+mn-lt"/>
                <a:ea typeface="+mn-ea"/>
                <a:cs typeface="+mn-cs"/>
              </a:defRPr>
            </a:pPr>
            <a:r>
              <a:t>政府信息公开申请历年数据统计表</a:t>
            </a:r>
          </a:p>
        </c:rich>
      </c:tx>
      <c:layout/>
      <c:overlay val="0"/>
      <c:spPr>
        <a:noFill/>
        <a:ln>
          <a:noFill/>
        </a:ln>
        <a:effectLst/>
      </c:sp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Sheet1!$A$2:$A$13</c:f>
              <c:strCache>
                <c:ptCount val="12"/>
                <c:pt idx="0">
                  <c:v>2009年</c:v>
                </c:pt>
                <c:pt idx="1">
                  <c:v>2010年</c:v>
                </c:pt>
                <c:pt idx="2">
                  <c:v>2011年</c:v>
                </c:pt>
                <c:pt idx="3">
                  <c:v>2012年</c:v>
                </c:pt>
                <c:pt idx="4">
                  <c:v>2013年</c:v>
                </c:pt>
                <c:pt idx="5">
                  <c:v>2014年</c:v>
                </c:pt>
                <c:pt idx="6">
                  <c:v>2015年</c:v>
                </c:pt>
                <c:pt idx="7">
                  <c:v>2016年</c:v>
                </c:pt>
                <c:pt idx="8">
                  <c:v>2017年</c:v>
                </c:pt>
                <c:pt idx="9">
                  <c:v>2018年</c:v>
                </c:pt>
                <c:pt idx="10">
                  <c:v>2019年</c:v>
                </c:pt>
                <c:pt idx="11">
                  <c:v>2020年</c:v>
                </c:pt>
              </c:strCache>
            </c:strRef>
          </c:cat>
          <c:val>
            <c:numRef>
              <c:f>Sheet1!$B$2:$B$13</c:f>
              <c:numCache>
                <c:formatCode>General</c:formatCode>
                <c:ptCount val="12"/>
                <c:pt idx="0">
                  <c:v>4</c:v>
                </c:pt>
                <c:pt idx="1">
                  <c:v>5</c:v>
                </c:pt>
                <c:pt idx="2">
                  <c:v>9</c:v>
                </c:pt>
                <c:pt idx="3">
                  <c:v>22</c:v>
                </c:pt>
                <c:pt idx="4">
                  <c:v>105</c:v>
                </c:pt>
                <c:pt idx="5">
                  <c:v>288</c:v>
                </c:pt>
                <c:pt idx="6">
                  <c:v>376</c:v>
                </c:pt>
                <c:pt idx="7">
                  <c:v>555</c:v>
                </c:pt>
                <c:pt idx="8">
                  <c:v>1416</c:v>
                </c:pt>
                <c:pt idx="9">
                  <c:v>1025</c:v>
                </c:pt>
                <c:pt idx="10">
                  <c:v>1357</c:v>
                </c:pt>
                <c:pt idx="11">
                  <c:v>1399</c:v>
                </c:pt>
              </c:numCache>
            </c:numRef>
          </c:val>
        </c:ser>
        <c:dLbls>
          <c:showLegendKey val="0"/>
          <c:showVal val="1"/>
          <c:showCatName val="0"/>
          <c:showSerName val="0"/>
          <c:showPercent val="0"/>
          <c:showBubbleSize val="0"/>
        </c:dLbls>
        <c:gapWidth val="164"/>
        <c:overlap val="-22"/>
        <c:axId val="376964548"/>
        <c:axId val="496987708"/>
      </c:barChart>
      <c:catAx>
        <c:axId val="376964548"/>
        <c:scaling>
          <c:orientation val="minMax"/>
        </c:scaling>
        <c:delete val="0"/>
        <c:axPos val="b"/>
        <c:majorTickMark val="none"/>
        <c:minorTickMark val="none"/>
        <c:tickLblPos val="nextTo"/>
        <c:spPr>
          <a:noFill/>
          <a:ln w="19050"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6987708"/>
        <c:crosses val="autoZero"/>
        <c:auto val="1"/>
        <c:lblAlgn val="ctr"/>
        <c:lblOffset val="100"/>
        <c:noMultiLvlLbl val="0"/>
      </c:catAx>
      <c:valAx>
        <c:axId val="496987708"/>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6964548"/>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tx1"/>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800" b="1" i="0" u="none" strike="noStrike" kern="1200" cap="all" baseline="0">
              <a:solidFill>
                <a:schemeClr val="tx1">
                  <a:lumMod val="65000"/>
                  <a:lumOff val="35000"/>
                </a:schemeClr>
              </a:solidFill>
              <a:latin typeface="+mn-lt"/>
              <a:ea typeface="+mn-ea"/>
              <a:cs typeface="+mn-cs"/>
            </a:defRPr>
          </a:pPr>
        </a:p>
      </c:tx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0301820317087493"/>
          <c:y val="0.211984023548298"/>
          <c:w val="0.948326482677628"/>
          <c:h val="0.779947122229001"/>
        </c:manualLayout>
      </c:layout>
      <c:pie3DChart>
        <c:varyColors val="1"/>
        <c:ser>
          <c:idx val="0"/>
          <c:order val="0"/>
          <c:tx>
            <c:strRef>
              <c:f>Sheet1!$B$1</c:f>
              <c:strCache>
                <c:ptCount val="1"/>
                <c:pt idx="0">
                  <c:v>2020年度政府信息申请答复结果</c:v>
                </c:pt>
              </c:strCache>
            </c:strRef>
          </c:tx>
          <c:spPr>
            <a:scene3d>
              <a:camera prst="orthographicFront"/>
              <a:lightRig rig="threePt" dir="t"/>
            </a:scene3d>
            <a:sp3d contourW="19050"/>
          </c:spPr>
          <c:explosion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c:spPr>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c:spPr>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c:spPr>
          </c:dPt>
          <c:dLbls>
            <c:dLbl>
              <c:idx val="0"/>
              <c:layout>
                <c:manualLayout>
                  <c:x val="0.0383963298599819"/>
                  <c:y val="-0.15448826651126"/>
                </c:manualLayout>
              </c:layout>
              <c:numFmt formatCode="General" sourceLinked="1"/>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lang="zh-CN" sz="1000" b="0" i="0" u="none" strike="noStrike" kern="1200" baseline="0">
                      <a:solidFill>
                        <a:schemeClr val="accent1"/>
                      </a:solidFill>
                      <a:effectLst/>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712573572457398"/>
                  <c:y val="0.0479005914108106"/>
                </c:manualLayout>
              </c:layout>
              <c:numFmt formatCode="General" sourceLinked="1"/>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lang="zh-CN" sz="1000" b="0" i="0" u="none" strike="noStrike" kern="1200" baseline="0">
                      <a:solidFill>
                        <a:schemeClr val="accent2"/>
                      </a:solidFill>
                      <a:effectLst/>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382523023937463"/>
                  <c:y val="-0.152704187115719"/>
                </c:manualLayout>
              </c:layout>
              <c:numFmt formatCode="General" sourceLinked="1"/>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lang="zh-CN" sz="1000" b="0" i="0" u="none" strike="noStrike" kern="1200" baseline="0">
                      <a:solidFill>
                        <a:schemeClr val="accent3"/>
                      </a:solidFill>
                      <a:effectLst/>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0618947425649759"/>
                  <c:y val="-0.074205808830393"/>
                </c:manualLayout>
              </c:layout>
              <c:numFmt formatCode="General" sourceLinked="1"/>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lang="zh-CN" sz="1000" b="0" i="0" u="none" strike="noStrike" kern="1200" baseline="0">
                      <a:solidFill>
                        <a:schemeClr val="accent4"/>
                      </a:solidFill>
                      <a:effectLst/>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00359668177906709"/>
                  <c:y val="-0.0363070549174704"/>
                </c:manualLayout>
              </c:layout>
              <c:numFmt formatCode="General" sourceLinked="1"/>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lang="zh-CN" sz="1000" b="0" i="0" u="none" strike="noStrike" kern="1200" baseline="0">
                      <a:solidFill>
                        <a:schemeClr val="accent5"/>
                      </a:solidFill>
                      <a:effectLst/>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5"/>
              <c:layout>
                <c:manualLayout>
                  <c:x val="0.116404551753915"/>
                  <c:y val="-0.0353149599441174"/>
                </c:manualLayout>
              </c:layout>
              <c:numFmt formatCode="General" sourceLinked="1"/>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lang="zh-CN" sz="1000" b="0" i="0" u="none" strike="noStrike" kern="1200" baseline="0">
                      <a:solidFill>
                        <a:schemeClr val="accent6"/>
                      </a:solidFill>
                      <a:effectLst/>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lang="zh-CN" sz="1000" b="0" i="0" u="none" strike="noStrike" kern="1200" baseline="0">
                    <a:solidFill>
                      <a:schemeClr val="accent1"/>
                    </a:solidFill>
                    <a:effectLst/>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extLst>
                <c:ext xmlns:c15="http://schemas.microsoft.com/office/drawing/2012/chart" uri="{02D57815-91ED-43cb-92C2-25804820EDAC}">
                  <c15:fullRef>
                    <c15:sqref>Sheet1!$A$2:$A$10</c15:sqref>
                  </c15:fullRef>
                </c:ext>
              </c:extLst>
              <c:f>Sheet1!$A$2:$A$7</c:f>
              <c:strCache>
                <c:ptCount val="6"/>
                <c:pt idx="0">
                  <c:v>予以公开</c:v>
                </c:pt>
                <c:pt idx="1">
                  <c:v>部分公开</c:v>
                </c:pt>
                <c:pt idx="2">
                  <c:v>不予公开</c:v>
                </c:pt>
                <c:pt idx="3">
                  <c:v>无法提供</c:v>
                </c:pt>
                <c:pt idx="4">
                  <c:v>不予处理</c:v>
                </c:pt>
                <c:pt idx="5">
                  <c:v>其他处理</c:v>
                </c:pt>
              </c:strCache>
            </c:strRef>
          </c:cat>
          <c:val>
            <c:numRef>
              <c:extLst>
                <c:ext xmlns:c15="http://schemas.microsoft.com/office/drawing/2012/chart" uri="{02D57815-91ED-43cb-92C2-25804820EDAC}">
                  <c15:fullRef>
                    <c15:sqref>Sheet1!$B$2:$B$10</c15:sqref>
                  </c15:fullRef>
                </c:ext>
              </c:extLst>
              <c:f>Sheet1!$B$2:$B$7</c:f>
              <c:numCache>
                <c:formatCode>General</c:formatCode>
                <c:ptCount val="6"/>
                <c:pt idx="0">
                  <c:v>910</c:v>
                </c:pt>
                <c:pt idx="1">
                  <c:v>82</c:v>
                </c:pt>
                <c:pt idx="2">
                  <c:v>63</c:v>
                </c:pt>
                <c:pt idx="3">
                  <c:v>262</c:v>
                </c:pt>
                <c:pt idx="4">
                  <c:v>8</c:v>
                </c:pt>
                <c:pt idx="5">
                  <c:v>71</c:v>
                </c:pt>
              </c:numCache>
            </c:numRef>
          </c:val>
        </c:ser>
        <c:dLbls>
          <c:showLegendKey val="0"/>
          <c:showVal val="0"/>
          <c:showCatName val="1"/>
          <c:showSerName val="0"/>
          <c:showPercent val="0"/>
          <c:showBubbleSize val="0"/>
        </c:dLbls>
      </c:pie3DChart>
      <c:spPr>
        <a:noFill/>
        <a:ln>
          <a:noFill/>
        </a:ln>
        <a:effectLst/>
      </c:spPr>
    </c:plotArea>
    <c:plotVisOnly val="1"/>
    <c:dispBlanksAs val="gap"/>
    <c:showDLblsOverMax val="0"/>
  </c:chart>
  <c:spPr>
    <a:solidFill>
      <a:schemeClr val="bg1"/>
    </a:solidFill>
    <a:ln w="12700" cap="flat" cmpd="sng" algn="ctr">
      <a:solidFill>
        <a:schemeClr val="tx1"/>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dk1">
                    <a:lumMod val="65000"/>
                    <a:lumOff val="35000"/>
                  </a:schemeClr>
                </a:solidFill>
                <a:latin typeface="+mn-lt"/>
                <a:ea typeface="+mn-ea"/>
                <a:cs typeface="+mn-cs"/>
              </a:defRPr>
            </a:pPr>
            <a:r>
              <a:rPr sz="1400"/>
              <a:t>2020年度政府信息公开申请不予公开情况表</a:t>
            </a:r>
            <a:endParaRPr sz="1400"/>
          </a:p>
        </c:rich>
      </c:tx>
      <c:layout>
        <c:manualLayout>
          <c:xMode val="edge"/>
          <c:yMode val="edge"/>
          <c:x val="0.223234110165042"/>
          <c:y val="0.037212449255751"/>
        </c:manualLayout>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tx>
            <c:strRef>
              <c:f>Sheet1!$B$1</c:f>
              <c:strCache>
                <c:ptCount val="1"/>
                <c:pt idx="0">
                  <c:v>2020年度政府信息公开申请不予公开情况表</c:v>
                </c:pt>
              </c:strCache>
            </c:strRef>
          </c:tx>
          <c:spPr>
            <a:scene3d>
              <a:camera prst="orthographicFront"/>
              <a:lightRig rig="threePt" dir="t"/>
            </a:scene3d>
            <a:sp3d contourW="9525"/>
          </c:spPr>
          <c:explosion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contourW="9525"/>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contourW="9525"/>
            </c:spPr>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contourW="9525"/>
            </c:spPr>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contourW="9525"/>
            </c:spPr>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contourW="9525"/>
            </c:spPr>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contourW="9525"/>
            </c:spPr>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contourW="9525"/>
            </c:spPr>
          </c:dPt>
          <c:dLbls>
            <c:dLbl>
              <c:idx val="0"/>
              <c:layout>
                <c:manualLayout>
                  <c:x val="-0.000866659987497037"/>
                  <c:y val="-0.0832265126473833"/>
                </c:manualLayout>
              </c:layout>
              <c:tx>
                <c:rich>
                  <a:bodyPr rot="0" spcFirstLastPara="0" vertOverflow="ellipsis" vert="horz" wrap="square" lIns="0" tIns="0" rIns="0" bIns="0" anchor="ctr" anchorCtr="1"/>
                  <a:lstStyle/>
                  <a:p>
                    <a:pPr defTabSz="914400">
                      <a:defRPr lang="zh-CN" sz="650" b="1" i="0" u="none" strike="noStrike" kern="1200" baseline="0">
                        <a:solidFill>
                          <a:schemeClr val="tx1"/>
                        </a:solidFill>
                        <a:latin typeface="+mn-lt"/>
                        <a:ea typeface="+mn-ea"/>
                        <a:cs typeface="+mn-cs"/>
                      </a:defRPr>
                    </a:pPr>
                    <a:r>
                      <a:rPr sz="650">
                        <a:solidFill>
                          <a:schemeClr val="tx1"/>
                        </a:solidFill>
                      </a:rPr>
                      <a:t>国家秘密3%</a:t>
                    </a:r>
                    <a:endParaRPr sz="650">
                      <a:solidFill>
                        <a:schemeClr val="tx1"/>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27572596560474"/>
                      <c:h val="0.0720568335588633"/>
                    </c:manualLayout>
                  </c15:layout>
                </c:ext>
              </c:extLst>
            </c:dLbl>
            <c:dLbl>
              <c:idx val="1"/>
              <c:layout>
                <c:manualLayout>
                  <c:x val="0.13616169509728"/>
                  <c:y val="-0.0806668763996426"/>
                </c:manualLayout>
              </c:layout>
              <c:tx>
                <c:rich>
                  <a:bodyPr rot="0" spcFirstLastPara="0" vertOverflow="ellipsis" vert="horz" wrap="square" lIns="0" tIns="0" rIns="0" bIns="0" anchor="ctr" anchorCtr="1"/>
                  <a:lstStyle/>
                  <a:p>
                    <a:pPr defTabSz="914400">
                      <a:defRPr lang="zh-CN" sz="650" b="1" i="0" u="none" strike="noStrike" kern="1200" baseline="0">
                        <a:solidFill>
                          <a:schemeClr val="tx1"/>
                        </a:solidFill>
                        <a:latin typeface="+mn-lt"/>
                        <a:ea typeface="+mn-ea"/>
                        <a:cs typeface="+mn-cs"/>
                      </a:defRPr>
                    </a:pPr>
                    <a:r>
                      <a:rPr sz="650">
                        <a:solidFill>
                          <a:schemeClr val="tx1"/>
                        </a:solidFill>
                      </a:rPr>
                      <a:t>法规法规禁止公开6%</a:t>
                    </a:r>
                    <a:endParaRPr sz="650">
                      <a:solidFill>
                        <a:schemeClr val="tx1"/>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86072737524669"/>
                      <c:h val="0.0720568335588633"/>
                    </c:manualLayout>
                  </c15:layout>
                </c:ext>
              </c:extLst>
            </c:dLbl>
            <c:dLbl>
              <c:idx val="2"/>
              <c:layout>
                <c:manualLayout>
                  <c:x val="0.0133753085084373"/>
                  <c:y val="-0.0253392584264389"/>
                </c:manualLayout>
              </c:layout>
              <c:tx>
                <c:rich>
                  <a:bodyPr rot="0" spcFirstLastPara="0" vertOverflow="ellipsis" vert="horz" wrap="square" lIns="0" tIns="0" rIns="0" bIns="0" anchor="ctr" anchorCtr="1"/>
                  <a:lstStyle/>
                  <a:p>
                    <a:pPr defTabSz="914400">
                      <a:defRPr lang="zh-CN" sz="650" b="1" i="0" u="none" strike="noStrike" kern="1200" baseline="0">
                        <a:solidFill>
                          <a:schemeClr val="tx1"/>
                        </a:solidFill>
                        <a:latin typeface="+mn-lt"/>
                        <a:ea typeface="+mn-ea"/>
                        <a:cs typeface="+mn-cs"/>
                      </a:defRPr>
                    </a:pPr>
                    <a:r>
                      <a:rPr sz="650">
                        <a:solidFill>
                          <a:schemeClr val="tx1"/>
                        </a:solidFill>
                      </a:rPr>
                      <a:t>保护第三方合法权益13%</a:t>
                    </a:r>
                    <a:endParaRPr sz="650">
                      <a:solidFill>
                        <a:schemeClr val="tx1"/>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10741471666197"/>
                      <c:h val="0.110284167794317"/>
                    </c:manualLayout>
                  </c15:layout>
                </c:ext>
              </c:extLst>
            </c:dLbl>
            <c:dLbl>
              <c:idx val="3"/>
              <c:layout>
                <c:manualLayout>
                  <c:x val="-0.232627444513346"/>
                  <c:y val="0.0246066887874153"/>
                </c:manualLayout>
              </c:layout>
              <c:tx>
                <c:rich>
                  <a:bodyPr rot="0" spcFirstLastPara="0" vertOverflow="ellipsis" vert="horz" wrap="square" lIns="0" tIns="0" rIns="0" bIns="0" anchor="ctr" anchorCtr="1"/>
                  <a:lstStyle/>
                  <a:p>
                    <a:pPr defTabSz="914400">
                      <a:defRPr lang="zh-CN" sz="650" b="1" i="0" u="none" strike="noStrike" kern="1200" baseline="0">
                        <a:solidFill>
                          <a:schemeClr val="tx1"/>
                        </a:solidFill>
                        <a:latin typeface="+mn-lt"/>
                        <a:ea typeface="+mn-ea"/>
                        <a:cs typeface="+mn-cs"/>
                      </a:defRPr>
                    </a:pPr>
                    <a:r>
                      <a:rPr sz="650">
                        <a:solidFill>
                          <a:schemeClr val="tx1"/>
                        </a:solidFill>
                      </a:rPr>
                      <a:t>三类内部事务信息43%</a:t>
                    </a:r>
                    <a:endParaRPr sz="650">
                      <a:solidFill>
                        <a:schemeClr val="tx1"/>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99323371863547"/>
                      <c:h val="0.0720568335588633"/>
                    </c:manualLayout>
                  </c15:layout>
                </c:ext>
              </c:extLst>
            </c:dLbl>
            <c:dLbl>
              <c:idx val="4"/>
              <c:layout>
                <c:manualLayout>
                  <c:x val="-0.0205156220051078"/>
                  <c:y val="-0.0378138613940522"/>
                </c:manualLayout>
              </c:layout>
              <c:tx>
                <c:rich>
                  <a:bodyPr rot="0" spcFirstLastPara="0" vertOverflow="ellipsis" vert="horz" wrap="square" lIns="0" tIns="0" rIns="0" bIns="0" anchor="ctr" anchorCtr="1"/>
                  <a:lstStyle/>
                  <a:p>
                    <a:pPr defTabSz="914400">
                      <a:defRPr lang="zh-CN" sz="650" b="1" i="0" u="none" strike="noStrike" kern="1200" baseline="0">
                        <a:solidFill>
                          <a:schemeClr val="tx1"/>
                        </a:solidFill>
                        <a:latin typeface="+mn-lt"/>
                        <a:ea typeface="+mn-ea"/>
                        <a:cs typeface="+mn-cs"/>
                      </a:defRPr>
                    </a:pPr>
                    <a:r>
                      <a:rPr sz="650">
                        <a:solidFill>
                          <a:schemeClr val="tx1"/>
                        </a:solidFill>
                      </a:rPr>
                      <a:t>四类过程性信息21%</a:t>
                    </a:r>
                    <a:endParaRPr sz="650">
                      <a:solidFill>
                        <a:schemeClr val="tx1"/>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77896814209191"/>
                      <c:h val="0.0794993234100135"/>
                    </c:manualLayout>
                  </c15:layout>
                </c:ext>
              </c:extLst>
            </c:dLbl>
            <c:dLbl>
              <c:idx val="5"/>
              <c:layout>
                <c:manualLayout>
                  <c:x val="-0.104644156329206"/>
                  <c:y val="-0.0100425626257741"/>
                </c:manualLayout>
              </c:layout>
              <c:tx>
                <c:rich>
                  <a:bodyPr rot="0" spcFirstLastPara="0" vertOverflow="ellipsis" vert="horz" wrap="square" lIns="0" tIns="0" rIns="0" bIns="0" anchor="ctr" anchorCtr="1"/>
                  <a:lstStyle/>
                  <a:p>
                    <a:pPr defTabSz="914400">
                      <a:defRPr lang="zh-CN" sz="650" b="1" i="0" u="none" strike="noStrike" kern="1200" baseline="0">
                        <a:solidFill>
                          <a:schemeClr val="tx1"/>
                        </a:solidFill>
                        <a:latin typeface="+mn-lt"/>
                        <a:ea typeface="+mn-ea"/>
                        <a:cs typeface="+mn-cs"/>
                      </a:defRPr>
                    </a:pPr>
                    <a:r>
                      <a:rPr sz="650">
                        <a:solidFill>
                          <a:schemeClr val="tx1"/>
                        </a:solidFill>
                      </a:rPr>
                      <a:t>行政执法案卷13%</a:t>
                    </a:r>
                    <a:endParaRPr sz="650">
                      <a:solidFill>
                        <a:schemeClr val="tx1"/>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54214829433324"/>
                      <c:h val="0.0720568335588633"/>
                    </c:manualLayout>
                  </c15:layout>
                </c:ext>
              </c:extLst>
            </c:dLbl>
            <c:dLbl>
              <c:idx val="6"/>
              <c:layout>
                <c:manualLayout>
                  <c:x val="-0.10331518798152"/>
                  <c:y val="-0.0695962640116994"/>
                </c:manualLayout>
              </c:layout>
              <c:tx>
                <c:rich>
                  <a:bodyPr rot="0" spcFirstLastPara="0" vertOverflow="ellipsis" vert="horz" wrap="square" lIns="0" tIns="0" rIns="0" bIns="0" anchor="ctr" anchorCtr="1"/>
                  <a:lstStyle/>
                  <a:p>
                    <a:pPr defTabSz="914400">
                      <a:defRPr lang="zh-CN" sz="650" b="1" i="0" u="none" strike="noStrike" kern="1200" baseline="0">
                        <a:solidFill>
                          <a:schemeClr val="tx1"/>
                        </a:solidFill>
                        <a:latin typeface="+mn-lt"/>
                        <a:ea typeface="+mn-ea"/>
                        <a:cs typeface="+mn-cs"/>
                      </a:defRPr>
                    </a:pPr>
                    <a:r>
                      <a:rPr sz="650">
                        <a:solidFill>
                          <a:schemeClr val="tx1"/>
                        </a:solidFill>
                      </a:rPr>
                      <a:t>行政查询事项1%</a:t>
                    </a:r>
                    <a:endParaRPr sz="650">
                      <a:solidFill>
                        <a:schemeClr val="tx1"/>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01"/>
                      <c:h val="0.072"/>
                    </c:manualLayout>
                  </c15:layout>
                </c:ext>
              </c:extLst>
            </c:dLbl>
            <c:spPr>
              <a:noFill/>
              <a:ln>
                <a:noFill/>
              </a:ln>
              <a:effectLst/>
            </c:spPr>
            <c:txPr>
              <a:bodyPr rot="0" spcFirstLastPara="0" vertOverflow="ellipsis" vert="horz" wrap="square" lIns="0" tIns="0" rIns="0" bIns="0" anchor="ctr" anchorCtr="1"/>
              <a:lstStyle/>
              <a:p>
                <a:pPr>
                  <a:defRPr lang="zh-CN" sz="650" b="1" i="0" u="none" strike="noStrike" kern="1200" baseline="0">
                    <a:solidFill>
                      <a:schemeClr val="tx1"/>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国家秘密</c:v>
                </c:pt>
                <c:pt idx="1">
                  <c:v>法规法规禁止公开</c:v>
                </c:pt>
                <c:pt idx="2">
                  <c:v>保护第三方合法权益</c:v>
                </c:pt>
                <c:pt idx="3">
                  <c:v>三类内部事务信息</c:v>
                </c:pt>
                <c:pt idx="4">
                  <c:v>四类过程性信息</c:v>
                </c:pt>
                <c:pt idx="5">
                  <c:v>行政执法案卷</c:v>
                </c:pt>
                <c:pt idx="6">
                  <c:v>行政查询事项</c:v>
                </c:pt>
              </c:strCache>
            </c:strRef>
          </c:cat>
          <c:val>
            <c:numRef>
              <c:f>Sheet1!$B$2:$B$8</c:f>
              <c:numCache>
                <c:formatCode>General</c:formatCode>
                <c:ptCount val="7"/>
                <c:pt idx="0">
                  <c:v>2</c:v>
                </c:pt>
                <c:pt idx="1">
                  <c:v>4</c:v>
                </c:pt>
                <c:pt idx="2">
                  <c:v>8</c:v>
                </c:pt>
                <c:pt idx="3">
                  <c:v>27</c:v>
                </c:pt>
                <c:pt idx="4">
                  <c:v>13</c:v>
                </c:pt>
                <c:pt idx="5">
                  <c:v>8</c:v>
                </c:pt>
                <c:pt idx="6">
                  <c:v>1</c:v>
                </c:pt>
              </c:numCache>
            </c:numRef>
          </c:val>
        </c:ser>
        <c:dLbls>
          <c:showLegendKey val="0"/>
          <c:showVal val="0"/>
          <c:showCatName val="1"/>
          <c:showSerName val="0"/>
          <c:showPercent val="0"/>
          <c:showBubbleSize val="0"/>
        </c:dLbls>
      </c:pie3DChart>
      <c:spPr>
        <a:noFill/>
        <a:ln>
          <a:noFill/>
        </a:ln>
        <a:effectLst/>
      </c:spPr>
    </c:plotArea>
    <c:plotVisOnly val="1"/>
    <c:dispBlanksAs val="gap"/>
    <c:showDLblsOverMax val="0"/>
  </c:chart>
  <c:spPr>
    <a:pattFill prst="dkDnDiag">
      <a:fgClr>
        <a:schemeClr val="lt1">
          <a:lumMod val="95000"/>
        </a:schemeClr>
      </a:fgClr>
      <a:bgClr>
        <a:schemeClr val="lt1"/>
      </a:bgClr>
    </a:pattFill>
    <a:ln w="12700" cap="flat" cmpd="sng" algn="ctr">
      <a:solidFill>
        <a:schemeClr val="tx1"/>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dk1">
                    <a:lumMod val="75000"/>
                    <a:lumOff val="25000"/>
                  </a:schemeClr>
                </a:solidFill>
                <a:latin typeface="+mn-lt"/>
                <a:ea typeface="+mn-ea"/>
                <a:cs typeface="+mn-cs"/>
              </a:defRPr>
            </a:pPr>
            <a:r>
              <a:t>2020年度政府信息公开</a:t>
            </a:r>
          </a:p>
          <a:p>
            <a:pPr defTabSz="914400">
              <a:defRPr lang="zh-CN" sz="1800" b="1" i="0" u="none" strike="noStrike" kern="1200" baseline="0">
                <a:solidFill>
                  <a:schemeClr val="dk1">
                    <a:lumMod val="75000"/>
                    <a:lumOff val="25000"/>
                  </a:schemeClr>
                </a:solidFill>
                <a:latin typeface="+mn-lt"/>
                <a:ea typeface="+mn-ea"/>
                <a:cs typeface="+mn-cs"/>
              </a:defRPr>
            </a:pPr>
            <a:r>
              <a:t>行政复议情况</a:t>
            </a:r>
          </a:p>
        </c:rich>
      </c:tx>
      <c:layout>
        <c:manualLayout>
          <c:xMode val="edge"/>
          <c:yMode val="edge"/>
          <c:x val="0.338975030245825"/>
          <c:y val="0.0167016100854835"/>
        </c:manualLayout>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tx>
            <c:strRef>
              <c:f>Sheet1!$B$1</c:f>
              <c:strCache>
                <c:ptCount val="1"/>
                <c:pt idx="0">
                  <c:v>2020年度政府信息公开行政复议情况</c:v>
                </c:pt>
              </c:strCache>
            </c:strRef>
          </c:tx>
          <c:spPr>
            <a:scene3d>
              <a:camera prst="orthographicFront"/>
              <a:lightRig rig="threePt" dir="t"/>
            </a:scene3d>
            <a:sp3d contourW="9525"/>
          </c:spPr>
          <c:explosion val="0"/>
          <c:dPt>
            <c:idx val="0"/>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contourW="9525"/>
            </c:spPr>
          </c:dPt>
          <c:dPt>
            <c:idx val="1"/>
            <c:bubble3D val="0"/>
            <c:spPr>
              <a:solidFill>
                <a:schemeClr val="accent2"/>
              </a:solidFill>
              <a:ln>
                <a:noFill/>
              </a:ln>
              <a:effectLst>
                <a:outerShdw blurRad="254000" sx="102000" sy="102000" algn="ctr" rotWithShape="0">
                  <a:prstClr val="black">
                    <a:alpha val="20000"/>
                  </a:prstClr>
                </a:outerShdw>
              </a:effectLst>
              <a:scene3d>
                <a:camera prst="orthographicFront"/>
                <a:lightRig rig="threePt" dir="t"/>
              </a:scene3d>
              <a:sp3d contourW="9525"/>
            </c:spPr>
          </c:dPt>
          <c:dPt>
            <c:idx val="2"/>
            <c:bubble3D val="0"/>
            <c:spPr>
              <a:solidFill>
                <a:schemeClr val="accent3"/>
              </a:solidFill>
              <a:ln>
                <a:noFill/>
              </a:ln>
              <a:effectLst>
                <a:outerShdw blurRad="254000" sx="102000" sy="102000" algn="ctr" rotWithShape="0">
                  <a:prstClr val="black">
                    <a:alpha val="20000"/>
                  </a:prstClr>
                </a:outerShdw>
              </a:effectLst>
              <a:scene3d>
                <a:camera prst="orthographicFront"/>
                <a:lightRig rig="threePt" dir="t"/>
              </a:scene3d>
              <a:sp3d contourW="9525"/>
            </c:spPr>
          </c:dPt>
          <c:dPt>
            <c:idx val="3"/>
            <c:bubble3D val="0"/>
            <c:spPr>
              <a:solidFill>
                <a:schemeClr val="accent4"/>
              </a:solidFill>
              <a:ln>
                <a:noFill/>
              </a:ln>
              <a:effectLst>
                <a:outerShdw blurRad="254000" sx="102000" sy="102000" algn="ctr" rotWithShape="0">
                  <a:prstClr val="black">
                    <a:alpha val="20000"/>
                  </a:prstClr>
                </a:outerShdw>
              </a:effectLst>
              <a:scene3d>
                <a:camera prst="orthographicFront"/>
                <a:lightRig rig="threePt" dir="t"/>
              </a:scene3d>
              <a:sp3d contourW="9525"/>
            </c:spPr>
          </c:dPt>
          <c:dLbls>
            <c:dLbl>
              <c:idx val="0"/>
              <c:layout>
                <c:manualLayout>
                  <c:x val="0.0728166234990565"/>
                  <c:y val="0.00315917002795845"/>
                </c:manualLayout>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t>结果维持74%</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85875"/>
                      <c:h val="0.09"/>
                    </c:manualLayout>
                  </c15:layout>
                </c:ext>
              </c:extLst>
            </c:dLbl>
            <c:dLbl>
              <c:idx val="1"/>
              <c:layout>
                <c:manualLayout>
                  <c:x val="-0.00954906790351879"/>
                  <c:y val="-0.0261731528068329"/>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382987973767379"/>
                  <c:y val="-0.0551123227449004"/>
                </c:manualLayout>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t>其他结果3%</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7125"/>
                      <c:h val="0.09"/>
                    </c:manualLayout>
                  </c15:layout>
                </c:ext>
              </c:extLst>
            </c:dLbl>
            <c:dLbl>
              <c:idx val="3"/>
              <c:layout>
                <c:manualLayout>
                  <c:x val="0.110969296091137"/>
                  <c:y val="-0.0941112857404958"/>
                </c:manualLayout>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t>尚未审结8%</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58626619282357"/>
                      <c:h val="0.101414216598437"/>
                    </c:manualLayout>
                  </c15:layout>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结果维持</c:v>
                </c:pt>
                <c:pt idx="1">
                  <c:v>结果纠正</c:v>
                </c:pt>
                <c:pt idx="2">
                  <c:v>其他结果</c:v>
                </c:pt>
                <c:pt idx="3">
                  <c:v>尚未审结</c:v>
                </c:pt>
              </c:strCache>
            </c:strRef>
          </c:cat>
          <c:val>
            <c:numRef>
              <c:f>Sheet1!$B$2:$B$5</c:f>
              <c:numCache>
                <c:formatCode>General</c:formatCode>
                <c:ptCount val="4"/>
                <c:pt idx="0">
                  <c:v>124</c:v>
                </c:pt>
                <c:pt idx="1">
                  <c:v>25</c:v>
                </c:pt>
                <c:pt idx="2">
                  <c:v>5</c:v>
                </c:pt>
                <c:pt idx="3">
                  <c:v>13</c:v>
                </c:pt>
              </c:numCache>
            </c:numRef>
          </c:val>
        </c:ser>
        <c:dLbls>
          <c:showLegendKey val="0"/>
          <c:showVal val="0"/>
          <c:showCatName val="1"/>
          <c:showSerName val="0"/>
          <c:showPercent val="0"/>
          <c:showBubbleSize val="0"/>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12700" cap="flat" cmpd="sng" algn="ctr">
      <a:solidFill>
        <a:schemeClr val="tx1"/>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2020年度政府信息公开行政诉讼情况</a:t>
            </a:r>
            <a:endParaRPr b="1"/>
          </a:p>
        </c:rich>
      </c:tx>
      <c:layout>
        <c:manualLayout>
          <c:xMode val="edge"/>
          <c:yMode val="edge"/>
          <c:x val="0.251137298291434"/>
          <c:y val="0.027353544563483"/>
        </c:manualLayout>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tx>
            <c:strRef>
              <c:f>Sheet1!$B$1</c:f>
              <c:strCache>
                <c:ptCount val="1"/>
                <c:pt idx="0">
                  <c:v>2020年度政府信息公开行政诉讼情况</c:v>
                </c:pt>
              </c:strCache>
            </c:strRef>
          </c:tx>
          <c:spPr>
            <a:scene3d>
              <a:camera prst="orthographicFront"/>
              <a:lightRig rig="threePt" dir="t"/>
            </a:scene3d>
            <a:sp3d contourW="25400"/>
          </c:spPr>
          <c:explosion val="0"/>
          <c:dPt>
            <c:idx val="0"/>
            <c:bubble3D val="0"/>
            <c:explosion val="0"/>
            <c:spPr>
              <a:solidFill>
                <a:schemeClr val="accent1"/>
              </a:solidFill>
              <a:ln w="25400">
                <a:solidFill>
                  <a:schemeClr val="lt1"/>
                </a:solidFill>
              </a:ln>
              <a:effectLst/>
            </c:spPr>
          </c:dPt>
          <c:dPt>
            <c:idx val="1"/>
            <c:bubble3D val="0"/>
            <c:spPr>
              <a:solidFill>
                <a:schemeClr val="accent2"/>
              </a:solidFill>
              <a:ln w="25400">
                <a:solidFill>
                  <a:schemeClr val="lt1"/>
                </a:solidFill>
              </a:ln>
              <a:effectLst/>
              <a:scene3d>
                <a:camera prst="orthographicFront"/>
                <a:lightRig rig="threePt" dir="t"/>
              </a:scene3d>
              <a:sp3d contourW="25400"/>
            </c:spPr>
          </c:dPt>
          <c:dPt>
            <c:idx val="2"/>
            <c:bubble3D val="0"/>
            <c:spPr>
              <a:solidFill>
                <a:schemeClr val="accent3"/>
              </a:solidFill>
              <a:ln w="25400">
                <a:solidFill>
                  <a:schemeClr val="lt1"/>
                </a:solidFill>
              </a:ln>
              <a:effectLst/>
              <a:scene3d>
                <a:camera prst="orthographicFront"/>
                <a:lightRig rig="threePt" dir="t"/>
              </a:scene3d>
              <a:sp3d contourW="25400"/>
            </c:spPr>
          </c:dPt>
          <c:dPt>
            <c:idx val="3"/>
            <c:bubble3D val="0"/>
            <c:spPr>
              <a:solidFill>
                <a:schemeClr val="accent4"/>
              </a:solidFill>
              <a:ln w="25400">
                <a:solidFill>
                  <a:schemeClr val="lt1"/>
                </a:solidFill>
              </a:ln>
              <a:effectLst/>
              <a:scene3d>
                <a:camera prst="orthographicFront"/>
                <a:lightRig rig="threePt" dir="t"/>
              </a:scene3d>
              <a:sp3d contourW="25400"/>
            </c:spPr>
          </c:dPt>
          <c:dLbls>
            <c:dLbl>
              <c:idx val="0"/>
              <c:layout>
                <c:manualLayout>
                  <c:x val="0.0564092942264151"/>
                  <c:y val="-0.0540442368540795"/>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113101190160779"/>
                  <c:y val="0.0698715354630614"/>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519833772995577"/>
                  <c:y val="0.01983165230015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0688494628380348"/>
                  <c:y val="0.028179510511649"/>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结果维持</c:v>
                </c:pt>
                <c:pt idx="1">
                  <c:v>结果纠正</c:v>
                </c:pt>
                <c:pt idx="2">
                  <c:v>其他结果</c:v>
                </c:pt>
                <c:pt idx="3">
                  <c:v>尚未审结</c:v>
                </c:pt>
              </c:strCache>
            </c:strRef>
          </c:cat>
          <c:val>
            <c:numRef>
              <c:f>Sheet1!$B$2:$B$5</c:f>
              <c:numCache>
                <c:formatCode>General</c:formatCode>
                <c:ptCount val="4"/>
                <c:pt idx="0">
                  <c:v>85</c:v>
                </c:pt>
                <c:pt idx="1">
                  <c:v>17</c:v>
                </c:pt>
                <c:pt idx="2">
                  <c:v>16</c:v>
                </c:pt>
                <c:pt idx="3">
                  <c:v>17</c:v>
                </c:pt>
              </c:numCache>
            </c:numRef>
          </c:val>
        </c:ser>
        <c:dLbls>
          <c:showLegendKey val="0"/>
          <c:showVal val="0"/>
          <c:showCatName val="0"/>
          <c:showSerName val="0"/>
          <c:showPercent val="1"/>
          <c:showBubbleSize val="0"/>
        </c:dLbls>
      </c:pie3D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12700" cap="flat" cmpd="sng" algn="ctr">
      <a:solidFill>
        <a:schemeClr val="tx1"/>
      </a:solidFill>
      <a:prstDash val="solid"/>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8638</Words>
  <Characters>8992</Characters>
  <Lines>0</Lines>
  <Paragraphs>0</Paragraphs>
  <TotalTime>8</TotalTime>
  <ScaleCrop>false</ScaleCrop>
  <LinksUpToDate>false</LinksUpToDate>
  <CharactersWithSpaces>9006</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2021-03-06T04:17:00Z</dcterms:created>
  <dc:creator>Administrator</dc:creator>
  <cp:lastModifiedBy>吉吉国王</cp:lastModifiedBy>
  <dcterms:modified xsi:type="dcterms:W3CDTF">2021-05-31T08:53:29Z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