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0"/>
        <w:rPr>
          <w:rFonts w:hint="eastAsia" w:ascii="方正小标宋简体" w:hAnsi="方正小标宋简体" w:eastAsia="方正小标宋简体" w:cs="方正小标宋简体"/>
          <w:b w:val="0"/>
          <w:bCs/>
          <w:i w:val="0"/>
          <w:caps w:val="0"/>
          <w:color w:val="auto"/>
          <w:spacing w:val="-17"/>
          <w:sz w:val="44"/>
          <w:szCs w:val="44"/>
          <w:shd w:val="clear" w:fill="FFFFFF"/>
        </w:rPr>
      </w:pPr>
      <w:r>
        <w:rPr>
          <w:rFonts w:hint="eastAsia" w:ascii="方正小标宋简体" w:hAnsi="方正小标宋简体" w:eastAsia="方正小标宋简体" w:cs="方正小标宋简体"/>
          <w:b w:val="0"/>
          <w:bCs/>
          <w:i w:val="0"/>
          <w:caps w:val="0"/>
          <w:color w:val="auto"/>
          <w:spacing w:val="-17"/>
          <w:sz w:val="44"/>
          <w:szCs w:val="44"/>
          <w:shd w:val="clear" w:fill="FFFFFF"/>
          <w:lang w:eastAsia="zh-CN"/>
        </w:rPr>
        <w:t>淄博市政府办公室</w:t>
      </w:r>
      <w:r>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t>2022年</w:t>
      </w:r>
      <w:r>
        <w:rPr>
          <w:rFonts w:hint="eastAsia" w:ascii="方正小标宋简体" w:hAnsi="方正小标宋简体" w:eastAsia="方正小标宋简体" w:cs="方正小标宋简体"/>
          <w:b w:val="0"/>
          <w:bCs/>
          <w:i w:val="0"/>
          <w:caps w:val="0"/>
          <w:color w:val="auto"/>
          <w:spacing w:val="-17"/>
          <w:sz w:val="44"/>
          <w:szCs w:val="44"/>
          <w:shd w:val="clear" w:fill="FFFFFF"/>
        </w:rPr>
        <w:t>政府信息公开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auto"/>
          <w:spacing w:val="-17"/>
          <w:sz w:val="44"/>
          <w:szCs w:val="44"/>
          <w:shd w:val="clear" w:fill="FFFFFF"/>
        </w:rPr>
        <w:t>工作</w:t>
      </w:r>
      <w:r>
        <w:rPr>
          <w:rFonts w:hint="eastAsia" w:ascii="方正小标宋简体" w:hAnsi="方正小标宋简体" w:eastAsia="方正小标宋简体" w:cs="方正小标宋简体"/>
          <w:b w:val="0"/>
          <w:bCs/>
          <w:i w:val="0"/>
          <w:caps w:val="0"/>
          <w:color w:val="auto"/>
          <w:spacing w:val="0"/>
          <w:sz w:val="44"/>
          <w:szCs w:val="44"/>
          <w:shd w:val="clear" w:fill="FFFFFF"/>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i w:val="0"/>
          <w:caps w:val="0"/>
          <w:color w:val="auto"/>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宋体" w:hAnsi="宋体" w:eastAsia="宋体" w:cs="宋体"/>
          <w:i w:val="0"/>
          <w:caps w:val="0"/>
          <w:color w:val="auto"/>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本报告根据《中华人民共和国政府信息公开条例》</w:t>
      </w:r>
      <w:r>
        <w:rPr>
          <w:rFonts w:hint="eastAsia" w:ascii="仿宋_GB2312" w:hAnsi="仿宋_GB2312" w:eastAsia="仿宋_GB2312" w:cs="仿宋_GB2312"/>
          <w:color w:val="auto"/>
          <w:sz w:val="32"/>
          <w:szCs w:val="32"/>
          <w:lang w:val="en-US" w:eastAsia="zh-CN"/>
        </w:rPr>
        <w:t>（以下简称《条例》）</w:t>
      </w:r>
      <w:r>
        <w:rPr>
          <w:rFonts w:hint="eastAsia" w:ascii="仿宋_GB2312" w:hAnsi="仿宋_GB2312" w:eastAsia="仿宋_GB2312" w:cs="仿宋_GB2312"/>
          <w:i w:val="0"/>
          <w:caps w:val="0"/>
          <w:color w:val="auto"/>
          <w:spacing w:val="0"/>
          <w:sz w:val="32"/>
          <w:szCs w:val="32"/>
          <w:u w:val="none"/>
          <w:lang w:eastAsia="zh-CN"/>
        </w:rPr>
        <w:t>及《中华人民共和国政府信息公开工作年度报告格式》编制</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eastAsia="zh-CN"/>
        </w:rPr>
        <w:t>报告中所列数据统计期限自2022年1月1日起，至2022年12月</w:t>
      </w:r>
      <w:r>
        <w:rPr>
          <w:rFonts w:hint="default" w:ascii="仿宋_GB2312" w:hAnsi="仿宋_GB2312" w:eastAsia="仿宋_GB2312" w:cs="仿宋_GB2312"/>
          <w:i w:val="0"/>
          <w:caps w:val="0"/>
          <w:color w:val="auto"/>
          <w:spacing w:val="0"/>
          <w:sz w:val="32"/>
          <w:szCs w:val="32"/>
          <w:u w:val="none"/>
          <w:lang w:val="en" w:eastAsia="zh-CN"/>
        </w:rPr>
        <w:t>31</w:t>
      </w:r>
      <w:r>
        <w:rPr>
          <w:rFonts w:hint="eastAsia" w:ascii="仿宋_GB2312" w:hAnsi="仿宋_GB2312" w:eastAsia="仿宋_GB2312" w:cs="仿宋_GB2312"/>
          <w:i w:val="0"/>
          <w:caps w:val="0"/>
          <w:color w:val="auto"/>
          <w:spacing w:val="0"/>
          <w:sz w:val="32"/>
          <w:szCs w:val="32"/>
          <w:u w:val="none"/>
          <w:lang w:eastAsia="zh-CN"/>
        </w:rPr>
        <w:t>日止。如对报告内容有疑问，请与</w:t>
      </w:r>
      <w:r>
        <w:rPr>
          <w:rFonts w:hint="eastAsia" w:ascii="仿宋_GB2312" w:hAnsi="仿宋_GB2312" w:eastAsia="仿宋_GB2312" w:cs="仿宋_GB2312"/>
          <w:b w:val="0"/>
          <w:bCs/>
          <w:i w:val="0"/>
          <w:caps w:val="0"/>
          <w:color w:val="auto"/>
          <w:spacing w:val="0"/>
          <w:sz w:val="32"/>
          <w:szCs w:val="32"/>
          <w:u w:val="none"/>
          <w:shd w:val="clear" w:fill="FFFFFF"/>
          <w:lang w:eastAsia="zh-CN"/>
        </w:rPr>
        <w:t>淄博市政府办公室政务公开办公室</w:t>
      </w:r>
      <w:r>
        <w:rPr>
          <w:rFonts w:hint="eastAsia" w:ascii="仿宋_GB2312" w:hAnsi="仿宋_GB2312" w:eastAsia="仿宋_GB2312" w:cs="仿宋_GB2312"/>
          <w:i w:val="0"/>
          <w:caps w:val="0"/>
          <w:color w:val="auto"/>
          <w:spacing w:val="0"/>
          <w:sz w:val="32"/>
          <w:szCs w:val="32"/>
          <w:u w:val="none"/>
          <w:lang w:eastAsia="zh-CN"/>
        </w:rPr>
        <w:t>联系（地址：山东省淄博市张店区人民西路</w:t>
      </w:r>
      <w:r>
        <w:rPr>
          <w:rFonts w:hint="eastAsia" w:ascii="仿宋_GB2312" w:hAnsi="仿宋_GB2312" w:eastAsia="仿宋_GB2312" w:cs="仿宋_GB2312"/>
          <w:i w:val="0"/>
          <w:caps w:val="0"/>
          <w:color w:val="auto"/>
          <w:spacing w:val="0"/>
          <w:sz w:val="32"/>
          <w:szCs w:val="32"/>
          <w:u w:val="none"/>
          <w:lang w:val="en-US" w:eastAsia="zh-CN"/>
        </w:rPr>
        <w:t>8号</w:t>
      </w:r>
      <w:r>
        <w:rPr>
          <w:rFonts w:hint="eastAsia" w:ascii="仿宋_GB2312" w:hAnsi="仿宋_GB2312" w:eastAsia="仿宋_GB2312" w:cs="仿宋_GB2312"/>
          <w:i w:val="0"/>
          <w:caps w:val="0"/>
          <w:color w:val="auto"/>
          <w:spacing w:val="0"/>
          <w:sz w:val="32"/>
          <w:szCs w:val="32"/>
          <w:u w:val="none"/>
          <w:lang w:eastAsia="zh-CN"/>
        </w:rPr>
        <w:t>；邮编：</w:t>
      </w:r>
      <w:r>
        <w:rPr>
          <w:rFonts w:hint="eastAsia" w:ascii="仿宋_GB2312" w:hAnsi="仿宋_GB2312" w:eastAsia="仿宋_GB2312" w:cs="仿宋_GB2312"/>
          <w:i w:val="0"/>
          <w:caps w:val="0"/>
          <w:color w:val="auto"/>
          <w:spacing w:val="0"/>
          <w:sz w:val="32"/>
          <w:szCs w:val="32"/>
          <w:u w:val="none"/>
          <w:lang w:val="en-US" w:eastAsia="zh-CN"/>
        </w:rPr>
        <w:t>255003</w:t>
      </w:r>
      <w:r>
        <w:rPr>
          <w:rFonts w:hint="eastAsia" w:ascii="仿宋_GB2312" w:hAnsi="仿宋_GB2312" w:eastAsia="仿宋_GB2312" w:cs="仿宋_GB2312"/>
          <w:i w:val="0"/>
          <w:caps w:val="0"/>
          <w:color w:val="auto"/>
          <w:spacing w:val="0"/>
          <w:sz w:val="32"/>
          <w:szCs w:val="32"/>
          <w:u w:val="none"/>
          <w:lang w:eastAsia="zh-CN"/>
        </w:rPr>
        <w:t>；电话：</w:t>
      </w:r>
      <w:r>
        <w:rPr>
          <w:rFonts w:hint="eastAsia" w:ascii="仿宋_GB2312" w:hAnsi="仿宋_GB2312" w:eastAsia="仿宋_GB2312" w:cs="仿宋_GB2312"/>
          <w:i w:val="0"/>
          <w:caps w:val="0"/>
          <w:color w:val="auto"/>
          <w:spacing w:val="0"/>
          <w:sz w:val="32"/>
          <w:szCs w:val="32"/>
          <w:u w:val="none"/>
          <w:lang w:val="en-US" w:eastAsia="zh-CN"/>
        </w:rPr>
        <w:t>0533-3183622</w:t>
      </w:r>
      <w:r>
        <w:rPr>
          <w:rFonts w:hint="eastAsia" w:ascii="仿宋_GB2312" w:hAnsi="仿宋_GB2312" w:eastAsia="仿宋_GB2312" w:cs="仿宋_GB2312"/>
          <w:i w:val="0"/>
          <w:caps w:val="0"/>
          <w:color w:val="auto"/>
          <w:spacing w:val="0"/>
          <w:sz w:val="32"/>
          <w:szCs w:val="32"/>
          <w:u w:val="none"/>
          <w:lang w:eastAsia="zh-CN"/>
        </w:rPr>
        <w:t>；邮箱：</w:t>
      </w:r>
      <w:r>
        <w:rPr>
          <w:rFonts w:hint="eastAsia" w:ascii="仿宋_GB2312" w:hAnsi="仿宋_GB2312" w:eastAsia="仿宋_GB2312" w:cs="仿宋_GB2312"/>
          <w:i w:val="0"/>
          <w:caps w:val="0"/>
          <w:color w:val="auto"/>
          <w:spacing w:val="0"/>
          <w:sz w:val="32"/>
          <w:szCs w:val="32"/>
          <w:u w:val="none"/>
          <w:lang w:val="en-US" w:eastAsia="zh-CN"/>
        </w:rPr>
        <w:t>zwgkb@zibo.shandong.cn</w:t>
      </w:r>
      <w:r>
        <w:rPr>
          <w:rFonts w:hint="eastAsia" w:ascii="仿宋_GB2312" w:hAnsi="仿宋_GB2312" w:eastAsia="仿宋_GB2312" w:cs="仿宋_GB2312"/>
          <w:i w:val="0"/>
          <w:caps w:val="0"/>
          <w:color w:val="auto"/>
          <w:spacing w:val="0"/>
          <w:sz w:val="32"/>
          <w:szCs w:val="32"/>
          <w:u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420"/>
        <w:jc w:val="both"/>
        <w:textAlignment w:val="auto"/>
        <w:outlineLvl w:val="0"/>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淄博市政府办公室以习近平新时代中国特色社会主义思想为指导，紧紧围绕市委、市政府中心工作和人民群众关注关切，严格依法做好本机关政府信息公开工作，充分履行对全市政务公开指导、协调、监督、推进职责，圆满完成《条例》规定和国家、省、市部署的各项公开任务。</w:t>
      </w:r>
    </w:p>
    <w:p>
      <w:pPr>
        <w:keepNext w:val="0"/>
        <w:keepLines w:val="0"/>
        <w:pageBreakBefore w:val="0"/>
        <w:kinsoku/>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60288" behindDoc="1" locked="0" layoutInCell="1" allowOverlap="1">
            <wp:simplePos x="0" y="0"/>
            <wp:positionH relativeFrom="column">
              <wp:posOffset>2540</wp:posOffset>
            </wp:positionH>
            <wp:positionV relativeFrom="paragraph">
              <wp:posOffset>172720</wp:posOffset>
            </wp:positionV>
            <wp:extent cx="2152650" cy="2041525"/>
            <wp:effectExtent l="5080" t="4445" r="13970" b="11430"/>
            <wp:wrapTight wrapText="bothSides">
              <wp:wrapPolygon>
                <wp:start x="-51" y="-47"/>
                <wp:lineTo x="-51" y="21519"/>
                <wp:lineTo x="21549" y="21519"/>
                <wp:lineTo x="21549" y="-47"/>
                <wp:lineTo x="-51" y="-47"/>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黑体" w:hAnsi="黑体" w:eastAsia="黑体" w:cs="黑体"/>
          <w:color w:val="auto"/>
          <w:sz w:val="32"/>
          <w:szCs w:val="32"/>
          <w:lang w:val="en-US" w:eastAsia="zh-CN"/>
        </w:rPr>
        <w:t>（一）扎实推进主动公开</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一是及时公开各类文件。</w:t>
      </w:r>
      <w:r>
        <w:rPr>
          <w:rFonts w:hint="eastAsia" w:ascii="仿宋_GB2312" w:hAnsi="仿宋_GB2312" w:eastAsia="仿宋_GB2312" w:cs="仿宋_GB2312"/>
          <w:color w:val="auto"/>
          <w:sz w:val="32"/>
          <w:szCs w:val="32"/>
          <w:lang w:val="en-US" w:eastAsia="zh-CN"/>
        </w:rPr>
        <w:t>坚持以公开为常态、不公开为例外，紧紧围绕全市重大战略实施、疫情防控、民生保障、优化营商环境等方面，通过《淄博市人民政府公报》、淄博市人民政府网站、“淄博政务督查”微信公众号等载体，主动公开市政府和市政府办公室政府文件156件（其中政府规章2件、市政府规范性文件1件、市政府办公室规范性文件8件）、市政府人事任免信息44条、本机关及所属单位部门预决算信息9条，及时公开市政府工作报告并持续公开报告部署任务的落实情况。</w:t>
      </w:r>
      <w:r>
        <w:rPr>
          <w:rFonts w:hint="eastAsia" w:ascii="仿宋_GB2312" w:hAnsi="仿宋_GB2312" w:eastAsia="仿宋_GB2312" w:cs="仿宋_GB2312"/>
          <w:b/>
          <w:bCs/>
          <w:color w:val="auto"/>
          <w:sz w:val="32"/>
          <w:szCs w:val="32"/>
          <w:lang w:val="en-US" w:eastAsia="zh-CN"/>
        </w:rPr>
        <w:t>二是推动深化政策解读。</w:t>
      </w:r>
      <w:r>
        <w:rPr>
          <w:rFonts w:hint="eastAsia" w:ascii="仿宋_GB2312" w:hAnsi="仿宋_GB2312" w:eastAsia="仿宋_GB2312" w:cs="仿宋_GB2312"/>
          <w:color w:val="auto"/>
          <w:sz w:val="32"/>
          <w:szCs w:val="32"/>
          <w:lang w:val="en-US" w:eastAsia="zh-CN"/>
        </w:rPr>
        <w:t>制发《淄博市政府办公室关于进一步规范和加强政策解读工作的通知》，对解读范围、解读程序、解读内容进行规范，协调专业机构统一为市级部门单位进行政策文件多形式解读，全年制作图文动漫解读材料200余件。</w:t>
      </w:r>
      <w:r>
        <w:rPr>
          <w:rFonts w:hint="eastAsia" w:ascii="仿宋_GB2312" w:hAnsi="仿宋_GB2312" w:eastAsia="仿宋_GB2312" w:cs="仿宋_GB2312"/>
          <w:b/>
          <w:bCs/>
          <w:color w:val="auto"/>
          <w:sz w:val="32"/>
          <w:szCs w:val="32"/>
          <w:lang w:val="en-US" w:eastAsia="zh-CN"/>
        </w:rPr>
        <w:t>三是切实加强政民互动。</w:t>
      </w:r>
      <w:r>
        <w:rPr>
          <w:rFonts w:hint="eastAsia" w:ascii="仿宋_GB2312" w:hAnsi="仿宋_GB2312" w:eastAsia="仿宋_GB2312" w:cs="仿宋_GB2312"/>
          <w:color w:val="auto"/>
          <w:sz w:val="32"/>
          <w:szCs w:val="32"/>
          <w:lang w:val="en-US" w:eastAsia="zh-CN"/>
        </w:rPr>
        <w:t>通过市政府网站“12345市长在线”栏目发布市长、副市长接话时间安排和群众反映问题办理结果，通过市政府网站“民意直通车”栏目发布各区县、市直部门负责人接话时间安排和群众反映问题办理结果，相关信息同步通过“淄博市政府市民投诉中心”微信公众号、淄博日报等渠道向社会公布。</w:t>
      </w:r>
      <w:r>
        <w:rPr>
          <w:rFonts w:hint="eastAsia" w:ascii="仿宋_GB2312" w:hAnsi="仿宋_GB2312" w:eastAsia="仿宋_GB2312" w:cs="仿宋_GB2312"/>
          <w:b/>
          <w:bCs/>
          <w:color w:val="auto"/>
          <w:sz w:val="32"/>
          <w:szCs w:val="32"/>
          <w:lang w:val="en-US" w:eastAsia="zh-CN"/>
        </w:rPr>
        <w:t>四是全面推进公共企事业单位信息公开。</w:t>
      </w:r>
      <w:r>
        <w:rPr>
          <w:rFonts w:hint="eastAsia" w:ascii="仿宋_GB2312" w:hAnsi="仿宋_GB2312" w:eastAsia="仿宋_GB2312" w:cs="仿宋_GB2312"/>
          <w:color w:val="auto"/>
          <w:sz w:val="32"/>
          <w:szCs w:val="32"/>
          <w:lang w:val="en-US" w:eastAsia="zh-CN"/>
        </w:rPr>
        <w:t>开展全市公共企事业单位信息公开适用主体调查摸底，召开全市公共企事业单位信息公开推进会议，制定《公共企事业单位信息公开推进任务表》，在市政府网站开设公共企事业单位信息公开专题页面，分领域、分地域汇聚展示全市498家公共企事业单位各类服务信息。</w:t>
      </w:r>
    </w:p>
    <w:p>
      <w:pPr>
        <w:keepNext w:val="0"/>
        <w:keepLines w:val="0"/>
        <w:pageBreakBefore w:val="0"/>
        <w:kinsoku/>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（二）依法开展依申请公开</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继续引入专业律师辅助开展依申请公开工作，不断提高依申请公开政府信息答复的规范性</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2022年共代市政府</w:t>
      </w:r>
      <w:r>
        <w:rPr>
          <w:color w:val="auto"/>
          <w:sz w:val="32"/>
        </w:rPr>
        <mc:AlternateContent>
          <mc:Choice Requires="wpg">
            <w:drawing>
              <wp:anchor distT="0" distB="0" distL="114300" distR="114300" simplePos="0" relativeHeight="251664384" behindDoc="1" locked="0" layoutInCell="1" allowOverlap="1">
                <wp:simplePos x="0" y="0"/>
                <wp:positionH relativeFrom="column">
                  <wp:posOffset>2520950</wp:posOffset>
                </wp:positionH>
                <wp:positionV relativeFrom="paragraph">
                  <wp:posOffset>424815</wp:posOffset>
                </wp:positionV>
                <wp:extent cx="2610485" cy="2056130"/>
                <wp:effectExtent l="4445" t="4445" r="13970" b="15875"/>
                <wp:wrapTight wrapText="bothSides">
                  <wp:wrapPolygon>
                    <wp:start x="-37" y="-47"/>
                    <wp:lineTo x="-37" y="21367"/>
                    <wp:lineTo x="21558" y="21367"/>
                    <wp:lineTo x="21558" y="-47"/>
                    <wp:lineTo x="-37" y="-47"/>
                  </wp:wrapPolygon>
                </wp:wrapTight>
                <wp:docPr id="7" name="组合 7"/>
                <wp:cNvGraphicFramePr/>
                <a:graphic xmlns:a="http://schemas.openxmlformats.org/drawingml/2006/main">
                  <a:graphicData uri="http://schemas.microsoft.com/office/word/2010/wordprocessingGroup">
                    <wpg:wgp>
                      <wpg:cNvGrpSpPr/>
                      <wpg:grpSpPr>
                        <a:xfrm>
                          <a:off x="0" y="0"/>
                          <a:ext cx="2610485" cy="2056130"/>
                          <a:chOff x="2439" y="29750"/>
                          <a:chExt cx="4470" cy="4468"/>
                        </a:xfrm>
                      </wpg:grpSpPr>
                      <wpg:graphicFrame>
                        <wpg:cNvPr id="2" name="图表 2"/>
                        <wpg:cNvFrPr/>
                        <wpg:xfrm>
                          <a:off x="2439" y="29750"/>
                          <a:ext cx="4471" cy="4469"/>
                        </wpg:xfrm>
                        <a:graphic>
                          <a:graphicData uri="http://schemas.openxmlformats.org/drawingml/2006/chart">
                            <c:chart xmlns:c="http://schemas.openxmlformats.org/drawingml/2006/chart" xmlns:r="http://schemas.openxmlformats.org/officeDocument/2006/relationships" r:id="rId6"/>
                          </a:graphicData>
                        </a:graphic>
                      </wpg:graphicFrame>
                      <wpg:grpSp>
                        <wpg:cNvPr id="11" name="组合 8"/>
                        <wpg:cNvGrpSpPr/>
                        <wpg:grpSpPr>
                          <a:xfrm>
                            <a:off x="3266" y="30631"/>
                            <a:ext cx="3097" cy="1624"/>
                            <a:chOff x="3039" y="18534"/>
                            <a:chExt cx="3097" cy="1624"/>
                          </a:xfrm>
                        </wpg:grpSpPr>
                        <wps:wsp>
                          <wps:cNvPr id="1" name="直接连接符 1"/>
                          <wps:cNvCnPr/>
                          <wps:spPr>
                            <a:xfrm>
                              <a:off x="3039" y="19975"/>
                              <a:ext cx="632" cy="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flipV="true">
                              <a:off x="3678" y="19806"/>
                              <a:ext cx="606" cy="2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4284" y="19799"/>
                              <a:ext cx="633" cy="3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flipV="true">
                              <a:off x="4923" y="19564"/>
                              <a:ext cx="607" cy="5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箭头连接符 7"/>
                          <wps:cNvCnPr/>
                          <wps:spPr>
                            <a:xfrm flipV="true">
                              <a:off x="5530" y="18534"/>
                              <a:ext cx="606" cy="1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198.5pt;margin-top:33.45pt;height:161.9pt;width:205.55pt;mso-wrap-distance-left:9pt;mso-wrap-distance-right:9pt;z-index:-251652096;mso-width-relative:page;mso-height-relative:page;" coordorigin="2439,29750" coordsize="4470,4468" wrapcoords="-37 -47 -37 21367 21558 21367 21558 -47 -37 -47" o:gfxdata="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">
                <o:lock v:ext="edit" aspectratio="f"/>
                <v:rect id="_x0000_s1026" o:spid="_x0000_s1026" o:spt="75" style="position:absolute;left:2431;top:29740;height:4490;width:4487;" coordsize="21600,21600" o:gfxdata="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AHkly+AAAA2gAAAA8AAAAAAAAAAQAgAAAAOAAAAGRycy9kb3ducmV2&#10;LnhtbFBLAQIUABQAAAAIAIdO4kAzLwWeOwAAADkAAAAQAAAAAAAAAAEAIAAAACMBAABkcnMvc2hh&#10;cGV4bWwueG1sUEsFBgAAAAAGAAYAWwEAAM0DAAAAAA==&#10;">
                  <v:imagedata r:id="rId7" o:title=""/>
                  <o:lock v:ext="edit"/>
                </v:rect>
                <v:group id="组合 8" o:spid="_x0000_s1026" o:spt="203" style="position:absolute;left:3266;top:30631;height:1624;width:3097;" coordorigin="3039,18534" coordsize="3097,1624" o:gfxdata="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nUI0jrwAAADbAAAADwAAAAAAAAABACAA&#10;AAA4AAAAZHJzL2Rvd25yZXYueG1sUEsBAhQAFAAAAAgAh07iQDMvBZ47AAAAOQAAABUAAAAAAAAA&#10;AQAgAAAAIQEAAGRycy9ncm91cHNoYXBleG1sLnhtbFBLBQYAAAAABgAGAGABAADeAwAAAAA=&#10;">
                  <o:lock v:ext="edit" aspectratio="f"/>
                  <v:line id="_x0000_s1026" o:spid="_x0000_s1026" o:spt="20" style="position:absolute;left:3039;top:19975;height:72;width:632;" filled="f" stroked="t" coordsize="21600,21600" o:gfxdata="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uvW1LoAAADaAAAADwAAAAAAAAABACAAAAA4AAAAZHJzL2Rvd25yZXYueG1s&#10;UEsBAhQAFAAAAAgAh07iQDMvBZ47AAAAOQAAABAAAAAAAAAAAQAgAAAAHwEAAGRycy9zaGFwZXht&#10;bC54bWxQSwUGAAAAAAYABgBbAQAAyQMAAAAA&#10;">
                    <v:fill on="f" focussize="0,0"/>
                    <v:stroke weight="0.5pt" color="#5B9BD5 [3204]" miterlimit="8" joinstyle="miter"/>
                    <v:imagedata o:title=""/>
                    <o:lock v:ext="edit" aspectratio="f"/>
                  </v:line>
                  <v:line id="_x0000_s1026" o:spid="_x0000_s1026" o:spt="20" style="position:absolute;left:3678;top:19806;flip:y;height:241;width:606;" filled="f" stroked="t" coordsize="21600,21600" o:gfxdata="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4Ax9b0AAADaAAAADwAAAAAAAAABACAAAAA4AAAAZHJzL2Rvd25yZXYu&#10;eG1sUEsBAhQAFAAAAAgAh07iQDMvBZ47AAAAOQAAABAAAAAAAAAAAQAgAAAAIgEAAGRycy9zaGFw&#10;ZXhtbC54bWxQSwUGAAAAAAYABgBbAQAAzAMAAAAA&#10;">
                    <v:fill on="f" focussize="0,0"/>
                    <v:stroke weight="0.5pt" color="#5B9BD5 [3204]" miterlimit="8" joinstyle="miter"/>
                    <v:imagedata o:title=""/>
                    <o:lock v:ext="edit" aspectratio="f"/>
                  </v:line>
                  <v:line id="_x0000_s1026" o:spid="_x0000_s1026" o:spt="20" style="position:absolute;left:4284;top:19799;height:359;width:633;" filled="f" stroked="t" coordsize="21600,21600" o:gfxdata="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nHVMvAAAANoAAAAPAAAAAAAAAAEAIAAAADgAAABkcnMvZG93bnJldi54&#10;bWxQSwECFAAUAAAACACHTuJAMy8FnjsAAAA5AAAAEAAAAAAAAAABACAAAAAhAQAAZHJzL3NoYXBl&#10;eG1sLnhtbFBLBQYAAAAABgAGAFsBAADLAwAAAAA=&#10;">
                    <v:fill on="f" focussize="0,0"/>
                    <v:stroke weight="0.5pt" color="#5B9BD5 [3204]" miterlimit="8" joinstyle="miter"/>
                    <v:imagedata o:title=""/>
                    <o:lock v:ext="edit" aspectratio="f"/>
                  </v:line>
                  <v:line id="_x0000_s1026" o:spid="_x0000_s1026" o:spt="20" style="position:absolute;left:4923;top:19564;flip:y;height:594;width:607;" filled="f" stroked="t" coordsize="21600,21600" o:gfxdata="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yUMGr0AAADaAAAADwAAAAAAAAABACAAAAA4AAAAZHJzL2Rvd25yZXYu&#10;eG1sUEsBAhQAFAAAAAgAh07iQDMvBZ47AAAAOQAAABAAAAAAAAAAAQAgAAAAIgEAAGRycy9zaGFw&#10;ZXhtbC54bWxQSwUGAAAAAAYABgBbAQAAzAMAAAAA&#10;">
                    <v:fill on="f" focussize="0,0"/>
                    <v:stroke weight="0.5pt" color="#5B9BD5 [3204]" miterlimit="8" joinstyle="miter"/>
                    <v:imagedata o:title=""/>
                    <o:lock v:ext="edit" aspectratio="f"/>
                  </v:line>
                  <v:shape id="直接箭头连接符 7" o:spid="_x0000_s1026" o:spt="32" type="#_x0000_t32" style="position:absolute;left:5530;top:18534;flip:y;height:1030;width:606;" filled="f" stroked="t" coordsize="21600,21600" o:gfxdata="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y8RlLoAAADbAAAADwAAAAAAAAABACAAAAA4AAAAZHJzL2Rvd25yZXYueG1s&#10;UEsBAhQAFAAAAAgAh07iQDMvBZ47AAAAOQAAABAAAAAAAAAAAQAgAAAAHwEAAGRycy9zaGFwZXht&#10;bC54bWxQSwUGAAAAAAYABgBbAQAAyQMAAAAA&#10;">
                    <v:fill on="f" focussize="0,0"/>
                    <v:stroke weight="0.5pt" color="#5B9BD5 [3204]" miterlimit="8" joinstyle="miter" endarrow="open"/>
                    <v:imagedata o:title=""/>
                    <o:lock v:ext="edit" aspectratio="f"/>
                  </v:shape>
                </v:group>
                <w10:wrap type="tight"/>
              </v:group>
            </w:pict>
          </mc:Fallback>
        </mc:AlternateContent>
      </w:r>
      <w:r>
        <w:rPr>
          <w:rFonts w:hint="eastAsia" w:ascii="仿宋_GB2312" w:hAnsi="仿宋_GB2312" w:eastAsia="仿宋_GB2312" w:cs="仿宋_GB2312"/>
          <w:color w:val="auto"/>
          <w:sz w:val="32"/>
          <w:szCs w:val="32"/>
          <w:lang w:val="en-US" w:eastAsia="zh-CN"/>
        </w:rPr>
        <w:t>办理政府信息公开申请275件，同比增长</w:t>
      </w:r>
      <w:r>
        <w:rPr>
          <w:rFonts w:hint="default" w:ascii="仿宋_GB2312" w:hAnsi="仿宋_GB2312" w:eastAsia="仿宋_GB2312" w:cs="仿宋_GB2312"/>
          <w:color w:val="auto"/>
          <w:sz w:val="32"/>
          <w:szCs w:val="32"/>
          <w:lang w:val="en" w:eastAsia="zh-CN"/>
        </w:rPr>
        <w:t>84.6%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组织开展全市依申请公开工作模拟暗访并对信息公开申请答复情况进行分析点评，有针对性地指导各级各部门单位提升信息公开申请答复质量。</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加强与承办部门沟通对接，开展疑难问题会商，确保事实调查清楚、适用法律正确、答复文书规范。年内无行政诉讼败诉案件和行政复议被纠错案件。</w:t>
      </w:r>
    </w:p>
    <w:p>
      <w:pPr>
        <w:keepNext w:val="0"/>
        <w:keepLines w:val="0"/>
        <w:pageBreakBefore w:val="0"/>
        <w:kinsoku/>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（三）全面加强政府信息管理</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在专人信息审核，定期巡网检查的基础上，2022年度以全省政府文件集中公开和数据联通为契机，组织全市开展政府文件网上发布格式规范工作，完成2016年以来15000余件文件公开属性认定、主题分类划分、发文机关代字规范等工作，并及时向省数据库推送（其中市政府和市政府办公室文件1500余件）。</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修订全市信息公开保密审查相关规定并将保密规定落实情况列为全市政务公开工作年度考核指标，督促政府信息公开保密审查工作落地落实。</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动态更新市政府主动公开基本目录，按国家、省政务公开年度要点和市年度工作方案完善目录事项。</w:t>
      </w:r>
    </w:p>
    <w:p>
      <w:pPr>
        <w:keepNext w:val="0"/>
        <w:keepLines w:val="0"/>
        <w:pageBreakBefore w:val="0"/>
        <w:kinsoku/>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（四）不断优化政府信息公开平台</w:t>
      </w:r>
    </w:p>
    <w:p>
      <w:pPr>
        <w:pStyle w:val="2"/>
        <w:keepNext w:val="0"/>
        <w:keepLines w:val="0"/>
        <w:pageBreakBefore w:val="0"/>
        <w:widowControl w:val="0"/>
        <w:kinsoku/>
        <w:wordWrap w:val="0"/>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一是优化完善市政府办公室政府信息公开平台。</w:t>
      </w:r>
      <w:r>
        <w:rPr>
          <w:rFonts w:hint="eastAsia" w:ascii="仿宋_GB2312" w:hAnsi="仿宋_GB2312" w:eastAsia="仿宋_GB2312" w:cs="仿宋_GB2312"/>
          <w:color w:val="auto"/>
          <w:sz w:val="32"/>
          <w:szCs w:val="32"/>
          <w:lang w:val="en-US" w:eastAsia="zh-CN"/>
        </w:rPr>
        <w:t>按照国家、省、市要求提升“机构职能”“法规公文”等专栏展示效果，增加部门负责人简历、政府文件分类展示等功能。</w:t>
      </w:r>
      <w:r>
        <w:rPr>
          <w:rFonts w:hint="eastAsia" w:ascii="仿宋_GB2312" w:hAnsi="仿宋_GB2312" w:eastAsia="仿宋_GB2312" w:cs="仿宋_GB2312"/>
          <w:b/>
          <w:bCs/>
          <w:color w:val="auto"/>
          <w:sz w:val="32"/>
          <w:szCs w:val="32"/>
          <w:lang w:val="en-US" w:eastAsia="zh-CN"/>
        </w:rPr>
        <w:t>二是助力做好新闻发布工作。</w:t>
      </w:r>
      <w:r>
        <w:rPr>
          <w:rFonts w:hint="eastAsia" w:ascii="仿宋_GB2312" w:hAnsi="仿宋_GB2312" w:eastAsia="仿宋_GB2312" w:cs="仿宋_GB2312"/>
          <w:color w:val="auto"/>
          <w:sz w:val="32"/>
          <w:szCs w:val="32"/>
          <w:lang w:val="en-US" w:eastAsia="zh-CN"/>
        </w:rPr>
        <w:t>与市政府新闻办共同推动全市各级各部门以新闻发布会为载体做好政策解读、热点回应等工作，全年共举办新闻发布会159场。</w:t>
      </w:r>
      <w:r>
        <w:rPr>
          <w:rFonts w:hint="eastAsia" w:ascii="仿宋_GB2312" w:hAnsi="仿宋_GB2312" w:eastAsia="仿宋_GB2312" w:cs="仿宋_GB2312"/>
          <w:b/>
          <w:bCs/>
          <w:color w:val="auto"/>
          <w:sz w:val="32"/>
          <w:szCs w:val="32"/>
          <w:lang w:val="en-US" w:eastAsia="zh-CN"/>
        </w:rPr>
        <w:t>三是做好政府公报发行工作。</w:t>
      </w:r>
      <w:r>
        <w:rPr>
          <w:rFonts w:hint="eastAsia" w:ascii="仿宋_GB2312" w:hAnsi="仿宋_GB2312" w:eastAsia="仿宋_GB2312" w:cs="仿宋_GB2312"/>
          <w:color w:val="auto"/>
          <w:sz w:val="32"/>
          <w:szCs w:val="32"/>
          <w:lang w:val="en-US" w:eastAsia="zh-CN"/>
        </w:rPr>
        <w:t>线上完善市政府网站公报专栏，数字化公开公报13期，文件130件；线下做好政府公报免费赠阅，全年赠阅</w:t>
      </w:r>
      <w:r>
        <w:rPr>
          <w:rFonts w:hint="default" w:ascii="Times New Roman" w:hAnsi="Times New Roman" w:eastAsia="仿宋_GB2312" w:cs="Times New Roman"/>
          <w:color w:val="auto"/>
          <w:sz w:val="32"/>
          <w:szCs w:val="32"/>
          <w:lang w:val="en-US" w:eastAsia="zh-CN"/>
        </w:rPr>
        <w:t>62</w:t>
      </w:r>
      <w:r>
        <w:rPr>
          <w:rFonts w:hint="eastAsia" w:ascii="Times New Roman" w:hAnsi="Times New Roman" w:eastAsia="仿宋_GB2312" w:cs="Times New Roman"/>
          <w:color w:val="auto"/>
          <w:sz w:val="32"/>
          <w:szCs w:val="32"/>
          <w:lang w:val="en-US" w:eastAsia="zh-CN"/>
        </w:rPr>
        <w:t>000余</w:t>
      </w:r>
      <w:r>
        <w:rPr>
          <w:rFonts w:hint="default" w:ascii="Times New Roman" w:hAnsi="Times New Roman" w:eastAsia="仿宋_GB2312" w:cs="Times New Roman"/>
          <w:color w:val="auto"/>
          <w:sz w:val="32"/>
          <w:szCs w:val="32"/>
          <w:lang w:val="en-US" w:eastAsia="zh-CN"/>
        </w:rPr>
        <w:t>册</w:t>
      </w:r>
      <w:r>
        <w:rPr>
          <w:rFonts w:hint="eastAsia" w:ascii="Times New Roman" w:hAnsi="Times New Roman" w:eastAsia="仿宋_GB2312" w:cs="Times New Roman"/>
          <w:color w:val="auto"/>
          <w:sz w:val="32"/>
          <w:szCs w:val="32"/>
          <w:lang w:val="en-US" w:eastAsia="zh-CN"/>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（五）着力强化监督保障</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一是强化市政务公开领导小组作用。</w:t>
      </w:r>
      <w:r>
        <w:rPr>
          <w:rFonts w:hint="eastAsia" w:ascii="仿宋_GB2312" w:hAnsi="仿宋_GB2312" w:eastAsia="仿宋_GB2312" w:cs="仿宋_GB2312"/>
          <w:b w:val="0"/>
          <w:bCs w:val="0"/>
          <w:color w:val="auto"/>
          <w:sz w:val="32"/>
          <w:szCs w:val="32"/>
          <w:lang w:val="en-US" w:eastAsia="zh-CN"/>
        </w:rPr>
        <w:t>根据政府换届后人员变化情况，对领导小组成员进行调整，组织召开领导小组会议审议通过修订后的领导小组工作规则和小组办公室工作细则，进一步夯实成员单位职责，8个成员单位参与全市政务公开年度考核打分。</w:t>
      </w:r>
      <w:r>
        <w:rPr>
          <w:rFonts w:hint="eastAsia" w:ascii="仿宋_GB2312" w:hAnsi="仿宋_GB2312" w:eastAsia="仿宋_GB2312" w:cs="仿宋_GB2312"/>
          <w:b/>
          <w:bCs/>
          <w:color w:val="auto"/>
          <w:sz w:val="32"/>
          <w:szCs w:val="32"/>
          <w:lang w:val="en-US" w:eastAsia="zh-CN"/>
        </w:rPr>
        <w:t>二是强化监管。</w:t>
      </w:r>
      <w:r>
        <w:rPr>
          <w:rFonts w:hint="eastAsia" w:ascii="仿宋_GB2312" w:hAnsi="仿宋_GB2312" w:eastAsia="仿宋_GB2312" w:cs="仿宋_GB2312"/>
          <w:color w:val="auto"/>
          <w:sz w:val="32"/>
          <w:szCs w:val="32"/>
          <w:lang w:val="en-US" w:eastAsia="zh-CN"/>
        </w:rPr>
        <w:t>按季度开展日常检查并印发4期问题通报，同时针对国办、省评估反馈问题组织各级各部门开展“回头看”，形成工作闭环，确保整改效果。</w:t>
      </w:r>
      <w:r>
        <w:rPr>
          <w:rFonts w:hint="eastAsia" w:ascii="仿宋_GB2312" w:hAnsi="仿宋_GB2312" w:eastAsia="仿宋_GB2312" w:cs="仿宋_GB2312"/>
          <w:b/>
          <w:bCs/>
          <w:color w:val="auto"/>
          <w:sz w:val="32"/>
          <w:szCs w:val="32"/>
          <w:lang w:val="en-US" w:eastAsia="zh-CN"/>
        </w:rPr>
        <w:t>三是扩宽业务培训渠道。</w:t>
      </w:r>
      <w:r>
        <w:rPr>
          <w:rFonts w:hint="eastAsia" w:ascii="仿宋_GB2312" w:hAnsi="仿宋_GB2312" w:eastAsia="仿宋_GB2312" w:cs="仿宋_GB2312"/>
          <w:color w:val="auto"/>
          <w:sz w:val="32"/>
          <w:szCs w:val="32"/>
          <w:lang w:val="en-US" w:eastAsia="zh-CN"/>
        </w:rPr>
        <w:t>2022年度对全市300余名新录用公务员及张店区40余名新调整领导干部开展政务公开政策法规宣贯培训，对全市行政审批、医保、信访、生态环境等系统分别开展业务培训，持续提升全市依法公开能力。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420"/>
        <w:jc w:val="both"/>
        <w:textAlignment w:val="auto"/>
        <w:outlineLvl w:val="0"/>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二、主动公开政府信息情况</w:t>
      </w:r>
    </w:p>
    <w:tbl>
      <w:tblPr>
        <w:tblStyle w:val="6"/>
        <w:tblW w:w="8860" w:type="dxa"/>
        <w:tblInd w:w="0" w:type="dxa"/>
        <w:tblLayout w:type="fixed"/>
        <w:tblCellMar>
          <w:top w:w="0" w:type="dxa"/>
          <w:left w:w="108" w:type="dxa"/>
          <w:bottom w:w="0" w:type="dxa"/>
          <w:right w:w="108" w:type="dxa"/>
        </w:tblCellMar>
      </w:tblPr>
      <w:tblGrid>
        <w:gridCol w:w="2215"/>
        <w:gridCol w:w="2215"/>
        <w:gridCol w:w="2215"/>
        <w:gridCol w:w="2215"/>
      </w:tblGrid>
      <w:tr>
        <w:tblPrEx>
          <w:tblCellMar>
            <w:top w:w="0" w:type="dxa"/>
            <w:left w:w="108" w:type="dxa"/>
            <w:bottom w:w="0" w:type="dxa"/>
            <w:right w:w="108" w:type="dxa"/>
          </w:tblCellMar>
        </w:tblPrEx>
        <w:trPr>
          <w:trHeight w:val="1061" w:hRule="atLeast"/>
        </w:trPr>
        <w:tc>
          <w:tcPr>
            <w:tcW w:w="88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第二十条第（一）项</w:t>
            </w:r>
          </w:p>
        </w:tc>
      </w:tr>
      <w:tr>
        <w:tblPrEx>
          <w:tblCellMar>
            <w:top w:w="0" w:type="dxa"/>
            <w:left w:w="108" w:type="dxa"/>
            <w:bottom w:w="0" w:type="dxa"/>
            <w:right w:w="108" w:type="dxa"/>
          </w:tblCellMar>
        </w:tblPrEx>
        <w:trPr>
          <w:trHeight w:val="872"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本年制发件数</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本年废止件数</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现行有效件数</w:t>
            </w:r>
          </w:p>
        </w:tc>
      </w:tr>
      <w:tr>
        <w:tblPrEx>
          <w:tblCellMar>
            <w:top w:w="0" w:type="dxa"/>
            <w:left w:w="108" w:type="dxa"/>
            <w:bottom w:w="0" w:type="dxa"/>
            <w:right w:w="108" w:type="dxa"/>
          </w:tblCellMar>
        </w:tblPrEx>
        <w:trPr>
          <w:trHeight w:val="668"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规章</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2</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default"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34</w:t>
            </w:r>
            <w:bookmarkStart w:id="0" w:name="_GoBack"/>
            <w:bookmarkEnd w:id="0"/>
          </w:p>
        </w:tc>
      </w:tr>
      <w:tr>
        <w:tblPrEx>
          <w:tblCellMar>
            <w:top w:w="0" w:type="dxa"/>
            <w:left w:w="108" w:type="dxa"/>
            <w:bottom w:w="0" w:type="dxa"/>
            <w:right w:w="108" w:type="dxa"/>
          </w:tblCellMar>
        </w:tblPrEx>
        <w:trPr>
          <w:trHeight w:val="873"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行政规范性文件</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8</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1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54</w:t>
            </w:r>
          </w:p>
        </w:tc>
      </w:tr>
      <w:tr>
        <w:tblPrEx>
          <w:tblCellMar>
            <w:top w:w="0" w:type="dxa"/>
            <w:left w:w="108" w:type="dxa"/>
            <w:bottom w:w="0" w:type="dxa"/>
            <w:right w:w="108" w:type="dxa"/>
          </w:tblCellMar>
        </w:tblPrEx>
        <w:trPr>
          <w:trHeight w:val="872" w:hRule="atLeast"/>
        </w:trPr>
        <w:tc>
          <w:tcPr>
            <w:tcW w:w="88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第二十条第（五）项</w:t>
            </w:r>
          </w:p>
        </w:tc>
      </w:tr>
      <w:tr>
        <w:tblPrEx>
          <w:tblCellMar>
            <w:top w:w="0" w:type="dxa"/>
            <w:left w:w="108" w:type="dxa"/>
            <w:bottom w:w="0" w:type="dxa"/>
            <w:right w:w="108" w:type="dxa"/>
          </w:tblCellMar>
        </w:tblPrEx>
        <w:trPr>
          <w:trHeight w:val="596"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684"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行政许可</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684" w:hRule="atLeast"/>
        </w:trPr>
        <w:tc>
          <w:tcPr>
            <w:tcW w:w="88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第二十条第（六）项</w:t>
            </w:r>
          </w:p>
        </w:tc>
      </w:tr>
      <w:tr>
        <w:tblPrEx>
          <w:tblCellMar>
            <w:top w:w="0" w:type="dxa"/>
            <w:left w:w="108" w:type="dxa"/>
            <w:bottom w:w="0" w:type="dxa"/>
            <w:right w:w="108" w:type="dxa"/>
          </w:tblCellMar>
        </w:tblPrEx>
        <w:trPr>
          <w:trHeight w:val="891"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640"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行政处罚</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仿宋_GB2312" w:hAnsi="Calibri" w:eastAsia="仿宋_GB2312" w:cs="Calibri"/>
                <w:color w:val="auto"/>
                <w:kern w:val="0"/>
                <w:szCs w:val="21"/>
                <w:highlight w:val="none"/>
                <w:lang w:eastAsia="zh-CN"/>
              </w:rPr>
            </w:pPr>
            <w:r>
              <w:rPr>
                <w:rFonts w:hint="eastAsia" w:ascii="仿宋_GB2312" w:hAnsi="Calibri" w:eastAsia="仿宋_GB2312" w:cs="Calibri"/>
                <w:color w:val="auto"/>
                <w:kern w:val="0"/>
                <w:szCs w:val="21"/>
                <w:highlight w:val="none"/>
                <w:lang w:val="en-US" w:eastAsia="zh-CN"/>
              </w:rPr>
              <w:t>0</w:t>
            </w:r>
          </w:p>
        </w:tc>
      </w:tr>
      <w:tr>
        <w:tblPrEx>
          <w:tblCellMar>
            <w:top w:w="0" w:type="dxa"/>
            <w:left w:w="108" w:type="dxa"/>
            <w:bottom w:w="0" w:type="dxa"/>
            <w:right w:w="108" w:type="dxa"/>
          </w:tblCellMar>
        </w:tblPrEx>
        <w:trPr>
          <w:trHeight w:val="754"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行政强制</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仿宋_GB2312" w:hAnsi="Calibri" w:eastAsia="仿宋_GB2312" w:cs="Calibri"/>
                <w:color w:val="auto"/>
                <w:kern w:val="0"/>
                <w:szCs w:val="21"/>
                <w:highlight w:val="none"/>
                <w:lang w:eastAsia="zh-CN"/>
              </w:rPr>
            </w:pPr>
            <w:r>
              <w:rPr>
                <w:rFonts w:hint="eastAsia" w:ascii="仿宋_GB2312" w:hAnsi="Calibri" w:eastAsia="仿宋_GB2312" w:cs="Calibri"/>
                <w:color w:val="auto"/>
                <w:kern w:val="0"/>
                <w:szCs w:val="21"/>
                <w:highlight w:val="none"/>
                <w:lang w:val="en-US" w:eastAsia="zh-CN"/>
              </w:rPr>
              <w:t>0</w:t>
            </w:r>
          </w:p>
        </w:tc>
      </w:tr>
      <w:tr>
        <w:tblPrEx>
          <w:tblCellMar>
            <w:top w:w="0" w:type="dxa"/>
            <w:left w:w="108" w:type="dxa"/>
            <w:bottom w:w="0" w:type="dxa"/>
            <w:right w:w="108" w:type="dxa"/>
          </w:tblCellMar>
        </w:tblPrEx>
        <w:trPr>
          <w:trHeight w:val="891" w:hRule="atLeast"/>
        </w:trPr>
        <w:tc>
          <w:tcPr>
            <w:tcW w:w="88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第二十条第（八）项</w:t>
            </w:r>
          </w:p>
        </w:tc>
      </w:tr>
      <w:tr>
        <w:tblPrEx>
          <w:tblCellMar>
            <w:top w:w="0" w:type="dxa"/>
            <w:left w:w="108" w:type="dxa"/>
            <w:bottom w:w="0" w:type="dxa"/>
            <w:right w:w="108" w:type="dxa"/>
          </w:tblCellMar>
        </w:tblPrEx>
        <w:trPr>
          <w:trHeight w:val="1184"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本年收费金额（单位：万元）</w:t>
            </w:r>
          </w:p>
        </w:tc>
      </w:tr>
      <w:tr>
        <w:tblPrEx>
          <w:tblCellMar>
            <w:top w:w="0" w:type="dxa"/>
            <w:left w:w="108" w:type="dxa"/>
            <w:bottom w:w="0" w:type="dxa"/>
            <w:right w:w="108" w:type="dxa"/>
          </w:tblCellMar>
        </w:tblPrEx>
        <w:trPr>
          <w:trHeight w:val="873" w:hRule="atLeast"/>
        </w:trPr>
        <w:tc>
          <w:tcPr>
            <w:tcW w:w="2215"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行政事业性收费</w:t>
            </w:r>
          </w:p>
        </w:tc>
        <w:tc>
          <w:tcPr>
            <w:tcW w:w="6645"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bl>
    <w:p>
      <w:pPr>
        <w:keepNext w:val="0"/>
        <w:keepLines w:val="0"/>
        <w:pageBreakBefore w:val="0"/>
        <w:kinsoku/>
        <w:overflowPunct/>
        <w:topLinePunct w:val="0"/>
        <w:autoSpaceDE/>
        <w:autoSpaceDN/>
        <w:bidi w:val="0"/>
        <w:adjustRightInd/>
        <w:snapToGrid/>
        <w:spacing w:line="240" w:lineRule="auto"/>
        <w:textAlignment w:val="auto"/>
        <w:outlineLvl w:val="0"/>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三、收到和处理政府信息公开申请情况</w:t>
      </w:r>
    </w:p>
    <w:tbl>
      <w:tblPr>
        <w:tblStyle w:val="6"/>
        <w:tblW w:w="89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563"/>
        <w:gridCol w:w="532"/>
        <w:gridCol w:w="464"/>
        <w:gridCol w:w="654"/>
        <w:gridCol w:w="723"/>
        <w:gridCol w:w="395"/>
        <w:gridCol w:w="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楷体_GB2312" w:hAnsi="黑体" w:eastAsia="楷体_GB2312"/>
                <w:color w:val="auto"/>
                <w:kern w:val="0"/>
                <w:szCs w:val="21"/>
              </w:rPr>
            </w:pPr>
            <w:r>
              <w:rPr>
                <w:rFonts w:hint="eastAsia" w:ascii="楷体_GB2312" w:hAnsi="黑体" w:eastAsia="楷体_GB2312"/>
                <w:color w:val="auto"/>
                <w:kern w:val="0"/>
                <w:szCs w:val="21"/>
              </w:rPr>
              <w:t>（本列数据的勾稽关系为：第一项加第二项之和，</w:t>
            </w:r>
          </w:p>
          <w:p>
            <w:pPr>
              <w:keepNext w:val="0"/>
              <w:keepLines w:val="0"/>
              <w:pageBreakBefore w:val="0"/>
              <w:widowControl/>
              <w:kinsoku/>
              <w:overflowPunct/>
              <w:topLinePunct w:val="0"/>
              <w:autoSpaceDE/>
              <w:autoSpaceDN/>
              <w:bidi w:val="0"/>
              <w:adjustRightInd/>
              <w:snapToGrid/>
              <w:spacing w:line="240" w:lineRule="auto"/>
              <w:jc w:val="center"/>
              <w:textAlignment w:val="auto"/>
              <w:rPr>
                <w:rFonts w:ascii="仿宋_GB2312" w:hAnsi="Times New Roman" w:eastAsia="仿宋_GB2312"/>
                <w:color w:val="auto"/>
                <w:szCs w:val="21"/>
              </w:rPr>
            </w:pPr>
            <w:r>
              <w:rPr>
                <w:rFonts w:hint="eastAsia" w:ascii="楷体_GB2312" w:hAnsi="黑体" w:eastAsia="楷体_GB2312"/>
                <w:color w:val="auto"/>
                <w:kern w:val="0"/>
                <w:szCs w:val="21"/>
              </w:rPr>
              <w:t>等于第三项加第四项之和）</w:t>
            </w:r>
          </w:p>
        </w:tc>
        <w:tc>
          <w:tcPr>
            <w:tcW w:w="3877" w:type="dxa"/>
            <w:gridSpan w:val="7"/>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szCs w:val="21"/>
              </w:rPr>
            </w:pPr>
            <w:r>
              <w:rPr>
                <w:rFonts w:hint="eastAsia" w:ascii="黑体" w:hAnsi="黑体" w:eastAsia="黑体"/>
                <w:color w:val="auto"/>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仿宋_GB2312" w:hAnsi="Times New Roman" w:eastAsia="仿宋_GB2312"/>
                <w:color w:val="auto"/>
                <w:szCs w:val="21"/>
              </w:rPr>
            </w:pPr>
          </w:p>
        </w:tc>
        <w:tc>
          <w:tcPr>
            <w:tcW w:w="563" w:type="dxa"/>
            <w:vMerge w:val="restart"/>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szCs w:val="21"/>
              </w:rPr>
            </w:pPr>
            <w:r>
              <w:rPr>
                <w:rFonts w:hint="eastAsia" w:ascii="黑体" w:hAnsi="黑体" w:eastAsia="黑体"/>
                <w:color w:val="auto"/>
                <w:kern w:val="0"/>
                <w:szCs w:val="21"/>
              </w:rPr>
              <w:t>自然人</w:t>
            </w:r>
          </w:p>
        </w:tc>
        <w:tc>
          <w:tcPr>
            <w:tcW w:w="2768" w:type="dxa"/>
            <w:gridSpan w:val="5"/>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szCs w:val="21"/>
              </w:rPr>
            </w:pPr>
            <w:r>
              <w:rPr>
                <w:rFonts w:hint="eastAsia" w:ascii="黑体" w:hAnsi="黑体" w:eastAsia="黑体"/>
                <w:color w:val="auto"/>
                <w:kern w:val="0"/>
                <w:szCs w:val="21"/>
              </w:rPr>
              <w:t>法人或其他组织</w:t>
            </w:r>
          </w:p>
        </w:tc>
        <w:tc>
          <w:tcPr>
            <w:tcW w:w="546" w:type="dxa"/>
            <w:vMerge w:val="restart"/>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szCs w:val="21"/>
              </w:rPr>
            </w:pPr>
            <w:r>
              <w:rPr>
                <w:rFonts w:hint="eastAsia" w:ascii="黑体" w:hAnsi="黑体" w:eastAsia="黑体"/>
                <w:color w:val="auto"/>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仿宋_GB2312" w:hAnsi="Times New Roman" w:eastAsia="仿宋_GB2312"/>
                <w:color w:val="auto"/>
                <w:szCs w:val="21"/>
              </w:rPr>
            </w:pPr>
          </w:p>
        </w:tc>
        <w:tc>
          <w:tcPr>
            <w:tcW w:w="563" w:type="dxa"/>
            <w:vMerge w:val="continue"/>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黑体" w:hAnsi="黑体" w:eastAsia="黑体"/>
                <w:color w:val="auto"/>
                <w:szCs w:val="21"/>
              </w:rPr>
            </w:pPr>
          </w:p>
        </w:tc>
        <w:tc>
          <w:tcPr>
            <w:tcW w:w="532" w:type="dxa"/>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06" w:leftChars="-51" w:right="-107" w:rightChars="-51" w:hanging="1"/>
              <w:jc w:val="center"/>
              <w:textAlignment w:val="auto"/>
              <w:rPr>
                <w:rFonts w:ascii="黑体" w:hAnsi="黑体" w:eastAsia="黑体"/>
                <w:color w:val="auto"/>
                <w:szCs w:val="21"/>
              </w:rPr>
            </w:pPr>
            <w:r>
              <w:rPr>
                <w:rFonts w:hint="eastAsia" w:ascii="黑体" w:hAnsi="黑体" w:eastAsia="黑体"/>
                <w:color w:val="auto"/>
                <w:kern w:val="0"/>
                <w:szCs w:val="21"/>
              </w:rPr>
              <w:t>商业企业</w:t>
            </w:r>
          </w:p>
        </w:tc>
        <w:tc>
          <w:tcPr>
            <w:tcW w:w="464" w:type="dxa"/>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07" w:leftChars="-51" w:right="-107" w:rightChars="-51"/>
              <w:jc w:val="center"/>
              <w:textAlignment w:val="auto"/>
              <w:rPr>
                <w:rFonts w:ascii="黑体" w:hAnsi="黑体" w:eastAsia="黑体"/>
                <w:color w:val="auto"/>
                <w:szCs w:val="21"/>
              </w:rPr>
            </w:pPr>
            <w:r>
              <w:rPr>
                <w:rFonts w:hint="eastAsia" w:ascii="黑体" w:hAnsi="黑体" w:eastAsia="黑体"/>
                <w:color w:val="auto"/>
                <w:kern w:val="0"/>
                <w:szCs w:val="21"/>
              </w:rPr>
              <w:t>科研机构</w:t>
            </w:r>
          </w:p>
        </w:tc>
        <w:tc>
          <w:tcPr>
            <w:tcW w:w="654" w:type="dxa"/>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07" w:leftChars="-51" w:right="-107" w:rightChars="-51"/>
              <w:jc w:val="center"/>
              <w:textAlignment w:val="auto"/>
              <w:rPr>
                <w:rFonts w:ascii="黑体" w:hAnsi="黑体" w:eastAsia="黑体"/>
                <w:color w:val="auto"/>
                <w:szCs w:val="21"/>
              </w:rPr>
            </w:pPr>
            <w:r>
              <w:rPr>
                <w:rFonts w:hint="eastAsia" w:ascii="黑体" w:hAnsi="黑体" w:eastAsia="黑体"/>
                <w:color w:val="auto"/>
                <w:kern w:val="0"/>
                <w:szCs w:val="21"/>
              </w:rPr>
              <w:t>社会公益组织</w:t>
            </w:r>
          </w:p>
        </w:tc>
        <w:tc>
          <w:tcPr>
            <w:tcW w:w="723" w:type="dxa"/>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06" w:leftChars="-51" w:right="-107" w:rightChars="-51" w:hanging="1"/>
              <w:jc w:val="center"/>
              <w:textAlignment w:val="auto"/>
              <w:rPr>
                <w:rFonts w:ascii="黑体" w:hAnsi="黑体" w:eastAsia="黑体"/>
                <w:color w:val="auto"/>
                <w:szCs w:val="21"/>
              </w:rPr>
            </w:pPr>
            <w:r>
              <w:rPr>
                <w:rFonts w:hint="eastAsia" w:ascii="黑体" w:hAnsi="黑体" w:eastAsia="黑体"/>
                <w:color w:val="auto"/>
                <w:kern w:val="0"/>
                <w:szCs w:val="21"/>
              </w:rPr>
              <w:t>法律服务机构</w:t>
            </w:r>
          </w:p>
        </w:tc>
        <w:tc>
          <w:tcPr>
            <w:tcW w:w="395" w:type="dxa"/>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63" w:leftChars="-30" w:right="-134" w:rightChars="-64"/>
              <w:jc w:val="center"/>
              <w:textAlignment w:val="auto"/>
              <w:rPr>
                <w:rFonts w:ascii="黑体" w:hAnsi="黑体" w:eastAsia="黑体"/>
                <w:color w:val="auto"/>
                <w:szCs w:val="21"/>
              </w:rPr>
            </w:pPr>
            <w:r>
              <w:rPr>
                <w:rFonts w:hint="eastAsia" w:ascii="黑体" w:hAnsi="黑体" w:eastAsia="黑体"/>
                <w:color w:val="auto"/>
                <w:kern w:val="0"/>
                <w:szCs w:val="21"/>
              </w:rPr>
              <w:t>其他</w:t>
            </w:r>
          </w:p>
        </w:tc>
        <w:tc>
          <w:tcPr>
            <w:tcW w:w="546" w:type="dxa"/>
            <w:vMerge w:val="continue"/>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ascii="仿宋_GB2312" w:hAnsi="Times New Roman"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一、本年新收政府信息公开申请数量</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260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15</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二、上年结转政府信息公开申请数量</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三、本年度办理结果</w:t>
            </w:r>
          </w:p>
          <w:p>
            <w:pPr>
              <w:keepNext w:val="0"/>
              <w:keepLines w:val="0"/>
              <w:pageBreakBefore w:val="0"/>
              <w:widowControl/>
              <w:kinsoku/>
              <w:wordWrap/>
              <w:overflowPunct/>
              <w:topLinePunct w:val="0"/>
              <w:autoSpaceDE/>
              <w:autoSpaceDN/>
              <w:bidi w:val="0"/>
              <w:adjustRightInd/>
              <w:snapToGrid/>
              <w:spacing w:after="180" w:line="240" w:lineRule="auto"/>
              <w:textAlignment w:val="auto"/>
              <w:rPr>
                <w:rFonts w:ascii="黑体" w:hAnsi="黑体" w:eastAsia="黑体"/>
                <w:color w:val="auto"/>
                <w:szCs w:val="21"/>
              </w:rPr>
            </w:pPr>
          </w:p>
        </w:tc>
        <w:tc>
          <w:tcPr>
            <w:tcW w:w="4677"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（一）予以公开</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123</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5</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4677"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（二）部分公开（区分处理的，只计这一情形，不计其他情形）</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（三）不予公开</w:t>
            </w:r>
          </w:p>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1.属于国家秘密</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2.其他法律行政法规禁止公开</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3.危及“三安全一稳定”</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4.保护第三方合法权益</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5.属于三类内部事务信息</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6.属于四类过程性信息</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7.属于行政执法案卷</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8.属于行政查询事项</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（四）无法提供</w:t>
            </w:r>
          </w:p>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1.本机关不掌握相关政府信息</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104</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107" w:leftChars="-51"/>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2.没有现成信息需要另行制作</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ind w:left="-107" w:leftChars="-51"/>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3.补正后申请内容仍不明确</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（五）不予处理</w:t>
            </w:r>
          </w:p>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1.信访举报投诉类申请</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4" w:hRule="exact"/>
          <w:jc w:val="center"/>
        </w:trPr>
        <w:tc>
          <w:tcPr>
            <w:tcW w:w="416" w:type="dxa"/>
            <w:vMerge w:val="restart"/>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r>
              <w:rPr>
                <w:rFonts w:hint="eastAsia" w:ascii="黑体" w:hAnsi="黑体" w:eastAsia="黑体"/>
                <w:color w:val="auto"/>
                <w:kern w:val="0"/>
                <w:szCs w:val="21"/>
              </w:rPr>
              <w:t>三、本年度办理结果</w:t>
            </w:r>
          </w:p>
        </w:tc>
        <w:tc>
          <w:tcPr>
            <w:tcW w:w="1701"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107" w:leftChars="-51"/>
              <w:textAlignment w:val="auto"/>
              <w:rPr>
                <w:rFonts w:ascii="黑体" w:hAnsi="黑体" w:eastAsia="黑体" w:cstheme="minorBidi"/>
                <w:color w:val="auto"/>
                <w:kern w:val="2"/>
                <w:sz w:val="21"/>
                <w:szCs w:val="21"/>
                <w:lang w:val="en-US" w:eastAsia="zh-CN" w:bidi="ar-SA"/>
              </w:rPr>
            </w:pPr>
            <w:r>
              <w:rPr>
                <w:rFonts w:hint="eastAsia" w:ascii="黑体" w:hAnsi="黑体" w:eastAsia="黑体"/>
                <w:color w:val="auto"/>
                <w:kern w:val="0"/>
                <w:szCs w:val="21"/>
              </w:rPr>
              <w:t>（五）不予处理</w:t>
            </w:r>
          </w:p>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黑体" w:eastAsia="仿宋_GB2312"/>
                <w:color w:val="auto"/>
                <w:kern w:val="0"/>
                <w:szCs w:val="21"/>
              </w:rPr>
              <w:t>2.重复申请</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2"/>
                <w:sz w:val="21"/>
                <w:szCs w:val="21"/>
                <w:lang w:val="en-US" w:eastAsia="zh-CN" w:bidi="ar-SA"/>
              </w:rPr>
            </w:pPr>
            <w:r>
              <w:rPr>
                <w:rFonts w:hint="eastAsia" w:ascii="仿宋_GB2312" w:hAnsi="黑体" w:eastAsia="仿宋_GB2312"/>
                <w:color w:val="auto"/>
                <w:kern w:val="0"/>
                <w:szCs w:val="21"/>
              </w:rPr>
              <w:t>3.要求提供公开出版物</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2"/>
                <w:sz w:val="21"/>
                <w:szCs w:val="21"/>
                <w:lang w:val="en-US" w:eastAsia="zh-CN" w:bidi="ar-SA"/>
              </w:rPr>
            </w:pPr>
            <w:r>
              <w:rPr>
                <w:rFonts w:hint="eastAsia" w:ascii="仿宋_GB2312" w:hAnsi="黑体" w:eastAsia="仿宋_GB2312"/>
                <w:color w:val="auto"/>
                <w:kern w:val="0"/>
                <w:szCs w:val="21"/>
              </w:rPr>
              <w:t>4.无正当理由大量反复申请</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297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olor w:val="auto"/>
                <w:kern w:val="0"/>
                <w:szCs w:val="21"/>
              </w:rPr>
            </w:pPr>
            <w:r>
              <w:rPr>
                <w:rFonts w:hint="eastAsia" w:ascii="仿宋_GB2312" w:hAnsi="黑体" w:eastAsia="仿宋_GB2312"/>
                <w:color w:val="auto"/>
                <w:kern w:val="0"/>
                <w:szCs w:val="21"/>
              </w:rPr>
              <w:t>5.要求行政机关确认或重新</w:t>
            </w:r>
          </w:p>
          <w:p>
            <w:pPr>
              <w:keepNext w:val="0"/>
              <w:keepLines w:val="0"/>
              <w:pageBreakBefore w:val="0"/>
              <w:widowControl/>
              <w:kinsoku/>
              <w:wordWrap/>
              <w:overflowPunct/>
              <w:topLinePunct w:val="0"/>
              <w:autoSpaceDE/>
              <w:autoSpaceDN/>
              <w:bidi w:val="0"/>
              <w:adjustRightInd/>
              <w:snapToGrid/>
              <w:spacing w:line="240" w:lineRule="auto"/>
              <w:ind w:firstLine="210" w:firstLineChars="100"/>
              <w:textAlignment w:val="auto"/>
              <w:rPr>
                <w:rFonts w:ascii="仿宋_GB2312" w:hAnsi="黑体" w:eastAsia="仿宋_GB2312" w:cstheme="minorBidi"/>
                <w:color w:val="auto"/>
                <w:kern w:val="2"/>
                <w:sz w:val="21"/>
                <w:szCs w:val="21"/>
                <w:lang w:val="en-US" w:eastAsia="zh-CN" w:bidi="ar-SA"/>
              </w:rPr>
            </w:pPr>
            <w:r>
              <w:rPr>
                <w:rFonts w:hint="eastAsia" w:ascii="仿宋_GB2312" w:hAnsi="黑体" w:eastAsia="仿宋_GB2312"/>
                <w:color w:val="auto"/>
                <w:kern w:val="0"/>
                <w:szCs w:val="21"/>
              </w:rPr>
              <w:t>出具已获取信息</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0"/>
                <w:sz w:val="21"/>
                <w:szCs w:val="21"/>
                <w:lang w:val="en-US" w:eastAsia="zh-CN" w:bidi="ar-SA"/>
              </w:rPr>
            </w:pPr>
            <w:r>
              <w:rPr>
                <w:rFonts w:hint="eastAsia" w:ascii="黑体" w:hAnsi="黑体" w:eastAsia="黑体"/>
                <w:color w:val="auto"/>
                <w:kern w:val="0"/>
                <w:szCs w:val="21"/>
              </w:rPr>
              <w:t>（六）其他处理</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olor w:val="auto"/>
                <w:kern w:val="0"/>
                <w:szCs w:val="21"/>
              </w:rPr>
            </w:pPr>
          </w:p>
        </w:tc>
        <w:tc>
          <w:tcPr>
            <w:tcW w:w="297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楷体" w:eastAsia="仿宋_GB2312" w:cstheme="minorBidi"/>
                <w:color w:val="auto"/>
                <w:kern w:val="2"/>
                <w:sz w:val="21"/>
                <w:szCs w:val="22"/>
                <w:lang w:val="en-US" w:eastAsia="zh-CN" w:bidi="ar-SA"/>
              </w:rPr>
            </w:pPr>
            <w:r>
              <w:rPr>
                <w:rFonts w:hint="eastAsia" w:ascii="仿宋_GB2312" w:hAnsi="楷体" w:eastAsia="仿宋_GB2312"/>
                <w:color w:val="auto"/>
              </w:rPr>
              <w:t>1.申请人无正当理由逾期不补正、行政机关不再处理其政府信息公开申请</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olor w:val="auto"/>
                <w:kern w:val="0"/>
                <w:szCs w:val="21"/>
              </w:rPr>
            </w:pPr>
          </w:p>
        </w:tc>
        <w:tc>
          <w:tcPr>
            <w:tcW w:w="297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楷体" w:eastAsia="仿宋_GB2312"/>
                <w:color w:val="auto"/>
              </w:rPr>
              <w:t>2.申请人逾期未按收费通知要求缴纳费用、行政机关不再处理其政府信息公开申请</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olor w:val="auto"/>
                <w:szCs w:val="21"/>
              </w:rPr>
            </w:pPr>
          </w:p>
        </w:tc>
        <w:tc>
          <w:tcPr>
            <w:tcW w:w="170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0"/>
                <w:sz w:val="21"/>
                <w:szCs w:val="21"/>
                <w:lang w:val="en-US" w:eastAsia="zh-CN" w:bidi="ar-SA"/>
              </w:rPr>
            </w:pPr>
          </w:p>
        </w:tc>
        <w:tc>
          <w:tcPr>
            <w:tcW w:w="297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_GB2312" w:hAnsi="黑体" w:eastAsia="仿宋_GB2312" w:cstheme="minorBidi"/>
                <w:color w:val="auto"/>
                <w:kern w:val="0"/>
                <w:sz w:val="21"/>
                <w:szCs w:val="21"/>
                <w:lang w:val="en-US" w:eastAsia="zh-CN" w:bidi="ar-SA"/>
              </w:rPr>
            </w:pPr>
            <w:r>
              <w:rPr>
                <w:rFonts w:hint="eastAsia" w:ascii="仿宋_GB2312" w:hAnsi="楷体" w:eastAsia="仿宋_GB2312"/>
                <w:color w:val="auto"/>
              </w:rPr>
              <w:t>3.其他</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16</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cstheme="minorBidi"/>
                <w:color w:val="auto"/>
                <w:kern w:val="2"/>
                <w:sz w:val="21"/>
                <w:szCs w:val="21"/>
                <w:lang w:val="en-US" w:eastAsia="zh-CN" w:bidi="ar-SA"/>
              </w:rPr>
            </w:pPr>
          </w:p>
        </w:tc>
        <w:tc>
          <w:tcPr>
            <w:tcW w:w="4677"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黑体" w:hAnsi="黑体" w:eastAsia="黑体" w:cstheme="minorBidi"/>
                <w:color w:val="auto"/>
                <w:kern w:val="0"/>
                <w:sz w:val="21"/>
                <w:szCs w:val="21"/>
                <w:lang w:val="en-US" w:eastAsia="zh-CN" w:bidi="ar-SA"/>
              </w:rPr>
            </w:pPr>
            <w:r>
              <w:rPr>
                <w:rFonts w:hint="eastAsia" w:ascii="黑体" w:hAnsi="黑体" w:eastAsia="黑体"/>
                <w:color w:val="auto"/>
                <w:kern w:val="0"/>
                <w:szCs w:val="21"/>
              </w:rPr>
              <w:t>（七）总计</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248</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15</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263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noWrap w:val="0"/>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textAlignment w:val="auto"/>
              <w:rPr>
                <w:rFonts w:ascii="黑体" w:hAnsi="黑体" w:eastAsia="黑体" w:cstheme="minorBidi"/>
                <w:color w:val="auto"/>
                <w:kern w:val="0"/>
                <w:sz w:val="21"/>
                <w:szCs w:val="21"/>
                <w:lang w:val="en-US" w:eastAsia="zh-CN" w:bidi="ar-SA"/>
              </w:rPr>
            </w:pPr>
            <w:r>
              <w:rPr>
                <w:rFonts w:hint="eastAsia" w:ascii="黑体" w:hAnsi="黑体" w:eastAsia="黑体"/>
                <w:color w:val="auto"/>
                <w:kern w:val="0"/>
                <w:szCs w:val="21"/>
              </w:rPr>
              <w:t>四、结转下年度继续办理</w:t>
            </w:r>
          </w:p>
        </w:tc>
        <w:tc>
          <w:tcPr>
            <w:tcW w:w="56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12</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65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72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3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0</w:t>
            </w:r>
          </w:p>
        </w:tc>
        <w:tc>
          <w:tcPr>
            <w:tcW w:w="54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仿宋_GB2312" w:hAnsi="Times New Roman" w:eastAsia="仿宋_GB2312" w:cstheme="minorBidi"/>
                <w:color w:val="auto"/>
                <w:kern w:val="2"/>
                <w:sz w:val="21"/>
                <w:szCs w:val="21"/>
                <w:lang w:val="en-US" w:eastAsia="zh-CN" w:bidi="ar-SA"/>
              </w:rPr>
            </w:pPr>
            <w:r>
              <w:rPr>
                <w:rFonts w:hint="eastAsia" w:ascii="仿宋_GB2312" w:hAnsi="Times New Roman" w:eastAsia="仿宋_GB2312"/>
                <w:color w:val="auto"/>
                <w:szCs w:val="21"/>
                <w:lang w:val="en-US" w:eastAsia="zh-CN"/>
              </w:rPr>
              <w:t>12</w:t>
            </w:r>
          </w:p>
        </w:tc>
      </w:tr>
    </w:tbl>
    <w:p>
      <w:pPr>
        <w:keepNext w:val="0"/>
        <w:keepLines w:val="0"/>
        <w:pageBreakBefore w:val="0"/>
        <w:widowControl/>
        <w:kinsoku/>
        <w:overflowPunct/>
        <w:topLinePunct w:val="0"/>
        <w:autoSpaceDE/>
        <w:autoSpaceDN/>
        <w:bidi w:val="0"/>
        <w:adjustRightInd/>
        <w:snapToGrid/>
        <w:spacing w:line="240" w:lineRule="auto"/>
        <w:jc w:val="left"/>
        <w:textAlignment w:val="auto"/>
        <w:rPr>
          <w:rFonts w:hint="eastAsia" w:ascii="仿宋_GB2312" w:hAnsi="Calibri" w:eastAsia="仿宋_GB2312" w:cs="Calibri"/>
          <w:color w:val="auto"/>
          <w:kern w:val="0"/>
          <w:szCs w:val="21"/>
          <w:lang w:val="en-US" w:eastAsia="zh-CN"/>
        </w:rPr>
      </w:pPr>
    </w:p>
    <w:p>
      <w:pPr>
        <w:keepNext w:val="0"/>
        <w:keepLines w:val="0"/>
        <w:pageBreakBefore w:val="0"/>
        <w:kinsoku/>
        <w:overflowPunct/>
        <w:topLinePunct w:val="0"/>
        <w:autoSpaceDE/>
        <w:autoSpaceDN/>
        <w:bidi w:val="0"/>
        <w:adjustRightInd/>
        <w:snapToGrid/>
        <w:spacing w:line="240" w:lineRule="auto"/>
        <w:textAlignment w:val="auto"/>
        <w:outlineLvl w:val="0"/>
        <w:rPr>
          <w:rFonts w:ascii="仿宋_GB2312"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49" w:leftChars="-71" w:right="-170" w:rightChars="-81"/>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val="0"/>
              <w:keepLines w:val="0"/>
              <w:pageBreakBefore w:val="0"/>
              <w:widowControl/>
              <w:kinsoku/>
              <w:overflowPunct/>
              <w:topLinePunct w:val="0"/>
              <w:autoSpaceDE/>
              <w:autoSpaceDN/>
              <w:bidi w:val="0"/>
              <w:adjustRightInd/>
              <w:snapToGrid/>
              <w:spacing w:line="240" w:lineRule="auto"/>
              <w:ind w:left="-149" w:leftChars="-71" w:right="-170" w:rightChars="-81"/>
              <w:jc w:val="center"/>
              <w:textAlignment w:val="auto"/>
              <w:rPr>
                <w:rFonts w:ascii="黑体" w:hAnsi="黑体" w:eastAsia="黑体"/>
                <w:color w:val="auto"/>
              </w:rPr>
            </w:pPr>
            <w:r>
              <w:rPr>
                <w:rFonts w:ascii="黑体" w:hAnsi="黑体" w:eastAsia="黑体"/>
                <w:color w:val="auto"/>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43" w:leftChars="-21" w:right="-132" w:rightChars="-63" w:hanging="1" w:firstLineChars="0"/>
              <w:jc w:val="center"/>
              <w:textAlignment w:val="auto"/>
              <w:rPr>
                <w:rFonts w:ascii="黑体" w:hAnsi="黑体" w:eastAsia="黑体"/>
                <w:color w:val="auto"/>
              </w:rPr>
            </w:pPr>
            <w:r>
              <w:rPr>
                <w:rFonts w:ascii="黑体" w:hAnsi="黑体" w:eastAsia="黑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82" w:leftChars="-39" w:right="-97" w:rightChars="-46"/>
              <w:jc w:val="center"/>
              <w:textAlignment w:val="auto"/>
              <w:rPr>
                <w:rFonts w:ascii="黑体" w:hAnsi="黑体" w:eastAsia="黑体"/>
                <w:color w:val="auto"/>
              </w:rPr>
            </w:pPr>
            <w:r>
              <w:rPr>
                <w:rFonts w:ascii="黑体" w:hAnsi="黑体" w:eastAsia="黑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18" w:leftChars="-56" w:right="-118" w:rightChars="-56"/>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val="0"/>
              <w:keepLines w:val="0"/>
              <w:pageBreakBefore w:val="0"/>
              <w:widowControl/>
              <w:kinsoku/>
              <w:overflowPunct/>
              <w:topLinePunct w:val="0"/>
              <w:autoSpaceDE/>
              <w:autoSpaceDN/>
              <w:bidi w:val="0"/>
              <w:adjustRightInd/>
              <w:snapToGrid/>
              <w:spacing w:line="240" w:lineRule="auto"/>
              <w:ind w:left="-118" w:leftChars="-56" w:right="-118" w:rightChars="-56"/>
              <w:jc w:val="center"/>
              <w:textAlignment w:val="auto"/>
              <w:rPr>
                <w:rFonts w:ascii="黑体" w:hAnsi="黑体" w:eastAsia="黑体"/>
                <w:color w:val="auto"/>
              </w:rPr>
            </w:pPr>
            <w:r>
              <w:rPr>
                <w:rFonts w:ascii="黑体" w:hAnsi="黑体" w:eastAsia="黑体"/>
                <w:color w:val="auto"/>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kern w:val="0"/>
                <w:sz w:val="20"/>
                <w:szCs w:val="20"/>
              </w:rPr>
            </w:pPr>
            <w:r>
              <w:rPr>
                <w:rFonts w:ascii="黑体" w:hAnsi="黑体" w:eastAsia="黑体"/>
                <w:color w:val="auto"/>
                <w:kern w:val="0"/>
                <w:sz w:val="20"/>
                <w:szCs w:val="20"/>
              </w:rPr>
              <w:t>总</w:t>
            </w:r>
          </w:p>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textAlignment w:val="auto"/>
              <w:rPr>
                <w:rFonts w:ascii="黑体" w:hAnsi="黑体" w:eastAsia="黑体"/>
                <w:color w:val="auto"/>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textAlignment w:val="auto"/>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textAlignment w:val="auto"/>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textAlignment w:val="auto"/>
              <w:rPr>
                <w:rFonts w:ascii="黑体" w:hAnsi="黑体" w:eastAsia="黑体"/>
                <w:color w:val="auto"/>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240" w:lineRule="auto"/>
              <w:textAlignment w:val="auto"/>
              <w:rPr>
                <w:rFonts w:ascii="黑体" w:hAnsi="黑体" w:eastAsia="黑体"/>
                <w:color w:val="auto"/>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05" w:leftChars="-50" w:right="-126" w:rightChars="-60"/>
              <w:jc w:val="center"/>
              <w:textAlignment w:val="auto"/>
              <w:rPr>
                <w:rFonts w:ascii="黑体" w:hAnsi="黑体" w:eastAsia="黑体"/>
                <w:color w:val="auto"/>
              </w:rPr>
            </w:pPr>
            <w:r>
              <w:rPr>
                <w:rFonts w:ascii="黑体" w:hAnsi="黑体" w:eastAsia="黑体"/>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86" w:leftChars="-41" w:right="-88" w:rightChars="-42"/>
              <w:jc w:val="center"/>
              <w:textAlignment w:val="auto"/>
              <w:rPr>
                <w:rFonts w:ascii="黑体" w:hAnsi="黑体" w:eastAsia="黑体"/>
                <w:color w:val="auto"/>
              </w:rPr>
            </w:pPr>
            <w:r>
              <w:rPr>
                <w:rFonts w:ascii="黑体" w:hAnsi="黑体" w:eastAsia="黑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26" w:leftChars="-60" w:right="-136" w:rightChars="-65"/>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val="0"/>
              <w:keepLines w:val="0"/>
              <w:pageBreakBefore w:val="0"/>
              <w:widowControl/>
              <w:kinsoku/>
              <w:overflowPunct/>
              <w:topLinePunct w:val="0"/>
              <w:autoSpaceDE/>
              <w:autoSpaceDN/>
              <w:bidi w:val="0"/>
              <w:adjustRightInd/>
              <w:snapToGrid/>
              <w:spacing w:line="240" w:lineRule="auto"/>
              <w:ind w:left="-126" w:leftChars="-60" w:right="-136" w:rightChars="-65"/>
              <w:jc w:val="center"/>
              <w:textAlignment w:val="auto"/>
              <w:rPr>
                <w:rFonts w:ascii="黑体" w:hAnsi="黑体" w:eastAsia="黑体"/>
                <w:color w:val="auto"/>
              </w:rPr>
            </w:pPr>
            <w:r>
              <w:rPr>
                <w:rFonts w:ascii="黑体" w:hAnsi="黑体" w:eastAsia="黑体"/>
                <w:color w:val="auto"/>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64" w:leftChars="-78" w:right="-153" w:rightChars="-73"/>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val="0"/>
              <w:keepLines w:val="0"/>
              <w:pageBreakBefore w:val="0"/>
              <w:widowControl/>
              <w:kinsoku/>
              <w:overflowPunct/>
              <w:topLinePunct w:val="0"/>
              <w:autoSpaceDE/>
              <w:autoSpaceDN/>
              <w:bidi w:val="0"/>
              <w:adjustRightInd/>
              <w:snapToGrid/>
              <w:spacing w:line="240" w:lineRule="auto"/>
              <w:ind w:left="-164" w:leftChars="-78" w:right="-153" w:rightChars="-73"/>
              <w:jc w:val="center"/>
              <w:textAlignment w:val="auto"/>
              <w:rPr>
                <w:rFonts w:ascii="黑体" w:hAnsi="黑体" w:eastAsia="黑体"/>
                <w:color w:val="auto"/>
              </w:rPr>
            </w:pPr>
            <w:r>
              <w:rPr>
                <w:rFonts w:ascii="黑体" w:hAnsi="黑体" w:eastAsia="黑体"/>
                <w:color w:val="auto"/>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99" w:leftChars="-47" w:right="-78" w:rightChars="-37"/>
              <w:jc w:val="center"/>
              <w:textAlignment w:val="auto"/>
              <w:rPr>
                <w:rFonts w:ascii="黑体" w:hAnsi="黑体" w:eastAsia="黑体"/>
                <w:color w:val="auto"/>
              </w:rPr>
            </w:pPr>
            <w:r>
              <w:rPr>
                <w:rFonts w:ascii="黑体" w:hAnsi="黑体" w:eastAsia="黑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36" w:leftChars="-65" w:right="-124" w:rightChars="-59"/>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val="0"/>
              <w:keepLines w:val="0"/>
              <w:pageBreakBefore w:val="0"/>
              <w:widowControl/>
              <w:kinsoku/>
              <w:overflowPunct/>
              <w:topLinePunct w:val="0"/>
              <w:autoSpaceDE/>
              <w:autoSpaceDN/>
              <w:bidi w:val="0"/>
              <w:adjustRightInd/>
              <w:snapToGrid/>
              <w:spacing w:line="240" w:lineRule="auto"/>
              <w:ind w:left="-136" w:leftChars="-65" w:right="-124" w:rightChars="-59"/>
              <w:jc w:val="center"/>
              <w:textAlignment w:val="auto"/>
              <w:rPr>
                <w:rFonts w:ascii="黑体" w:hAnsi="黑体" w:eastAsia="黑体"/>
                <w:color w:val="auto"/>
              </w:rPr>
            </w:pPr>
            <w:r>
              <w:rPr>
                <w:rFonts w:ascii="黑体" w:hAnsi="黑体" w:eastAsia="黑体"/>
                <w:color w:val="auto"/>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173" w:leftChars="-83" w:right="-134" w:rightChars="-64" w:hanging="1"/>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val="0"/>
              <w:keepLines w:val="0"/>
              <w:pageBreakBefore w:val="0"/>
              <w:widowControl/>
              <w:kinsoku/>
              <w:overflowPunct/>
              <w:topLinePunct w:val="0"/>
              <w:autoSpaceDE/>
              <w:autoSpaceDN/>
              <w:bidi w:val="0"/>
              <w:adjustRightInd/>
              <w:snapToGrid/>
              <w:spacing w:line="240" w:lineRule="auto"/>
              <w:ind w:left="-173" w:leftChars="-83" w:right="-134" w:rightChars="-64" w:hanging="1" w:firstLineChars="0"/>
              <w:jc w:val="center"/>
              <w:textAlignment w:val="auto"/>
              <w:rPr>
                <w:rFonts w:ascii="黑体" w:hAnsi="黑体" w:eastAsia="黑体"/>
                <w:color w:val="auto"/>
              </w:rPr>
            </w:pPr>
            <w:r>
              <w:rPr>
                <w:rFonts w:ascii="黑体" w:hAnsi="黑体" w:eastAsia="黑体"/>
                <w:color w:val="auto"/>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ind w:left="-67" w:leftChars="-33" w:right="-105" w:rightChars="-50" w:hanging="2" w:hangingChars="1"/>
              <w:jc w:val="center"/>
              <w:textAlignment w:val="auto"/>
              <w:rPr>
                <w:rFonts w:ascii="黑体" w:hAnsi="黑体" w:eastAsia="黑体"/>
                <w:color w:val="auto"/>
              </w:rPr>
            </w:pPr>
            <w:r>
              <w:rPr>
                <w:rFonts w:ascii="黑体" w:hAnsi="黑体" w:eastAsia="黑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line="240" w:lineRule="auto"/>
              <w:jc w:val="center"/>
              <w:textAlignment w:val="auto"/>
              <w:rPr>
                <w:rFonts w:ascii="黑体" w:hAnsi="黑体" w:eastAsia="黑体"/>
                <w:color w:val="auto"/>
              </w:rPr>
            </w:pPr>
            <w:r>
              <w:rPr>
                <w:rFonts w:ascii="黑体" w:hAnsi="黑体" w:eastAsia="黑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4</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1</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5</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1</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olor w:val="auto"/>
              </w:rPr>
            </w:pPr>
            <w:r>
              <w:rPr>
                <w:rFonts w:hint="eastAsia" w:ascii="Times New Roman" w:hAnsi="Times New Roman"/>
                <w:color w:val="auto"/>
                <w:lang w:val="en-US" w:eastAsia="zh-CN"/>
              </w:rPr>
              <w:t>2</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420"/>
        <w:jc w:val="both"/>
        <w:textAlignment w:val="auto"/>
        <w:outlineLvl w:val="0"/>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五、存在的主要问题及改进情况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针对全市及本机关工作中存在的政府文件公开不规范、业务工作和政务公开工作同步推进力度不够、日常公开工作落实不到位等问题有针对性地采取措施加以改进，取得明显成效：</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（一）着力规范文件发布格式。</w:t>
      </w:r>
      <w:r>
        <w:rPr>
          <w:rFonts w:hint="eastAsia" w:ascii="仿宋_GB2312" w:hAnsi="仿宋_GB2312" w:eastAsia="仿宋_GB2312" w:cs="仿宋_GB2312"/>
          <w:color w:val="auto"/>
          <w:sz w:val="32"/>
          <w:szCs w:val="32"/>
          <w:lang w:val="en-US" w:eastAsia="zh-CN"/>
        </w:rPr>
        <w:t>在对全市政府文件数量和公开情况进行充分摸底调研的基础上，协调政府信息公开平台服务商进行多轮技术实验，采用人工+技术的方式完善文件发布字段，印发通知推动形成文件规范发布长效机制，最大限度方便企业和群众查询获取。</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（二）着力强化“管业务就要管公开”理念。</w:t>
      </w:r>
      <w:r>
        <w:rPr>
          <w:rFonts w:hint="eastAsia" w:ascii="仿宋_GB2312" w:hAnsi="仿宋_GB2312" w:eastAsia="仿宋_GB2312" w:cs="仿宋_GB2312"/>
          <w:color w:val="auto"/>
          <w:sz w:val="32"/>
          <w:szCs w:val="32"/>
          <w:lang w:val="en-US" w:eastAsia="zh-CN"/>
        </w:rPr>
        <w:t>通过文件部署、会议强调等多种方式对“管业务就要管公开”的工作思路加以强化，同时将牵头部门列为政务公开工作年度考核相关指标打分部门，赋予这些部门对公开工作的评判权利。如市司法局负责行政执法信息公示工作的指导、协调、检查、监督，政务公开工作考核中就由市司法局负责行政执法公示指标的打分。经过一年的推动，更多市直部门在开展业务工作时能够同步落实相关公开要求，做到了业务工作推进到哪里，政务公开就跟进到哪里。</w:t>
      </w:r>
    </w:p>
    <w:p>
      <w:pPr>
        <w:pStyle w:val="2"/>
        <w:keepNext w:val="0"/>
        <w:keepLines w:val="0"/>
        <w:pageBreakBefore w:val="0"/>
        <w:widowControl w:val="0"/>
        <w:kinsoku/>
        <w:wordWrap/>
        <w:overflowPunct/>
        <w:topLinePunct w:val="0"/>
        <w:autoSpaceDE/>
        <w:autoSpaceDN/>
        <w:bidi w:val="0"/>
        <w:adjustRightInd/>
        <w:snapToGrid/>
        <w:spacing w:line="240" w:lineRule="auto"/>
        <w:ind w:firstLine="642" w:firstLineChars="200"/>
        <w:textAlignment w:val="auto"/>
        <w:rPr>
          <w:rFonts w:hint="default"/>
          <w:color w:val="auto"/>
          <w:lang w:val="en-US" w:eastAsia="zh-CN"/>
        </w:rPr>
      </w:pPr>
      <w:r>
        <w:rPr>
          <w:rFonts w:hint="eastAsia" w:ascii="仿宋_GB2312" w:hAnsi="仿宋_GB2312" w:eastAsia="仿宋_GB2312" w:cs="仿宋_GB2312"/>
          <w:b/>
          <w:bCs/>
          <w:color w:val="auto"/>
          <w:sz w:val="32"/>
          <w:szCs w:val="32"/>
          <w:lang w:val="en-US" w:eastAsia="zh-CN"/>
        </w:rPr>
        <w:t>（三）着力推动公开常态化。一是</w:t>
      </w:r>
      <w:r>
        <w:rPr>
          <w:rFonts w:hint="eastAsia" w:ascii="仿宋_GB2312" w:hAnsi="仿宋_GB2312" w:eastAsia="仿宋_GB2312" w:cs="仿宋_GB2312"/>
          <w:color w:val="auto"/>
          <w:sz w:val="32"/>
          <w:szCs w:val="32"/>
          <w:lang w:val="en-US" w:eastAsia="zh-CN"/>
        </w:rPr>
        <w:t>狠抓工作落实，制发政务公开常态化任务清单，将上级安排部署的工作任务结合淄博市实际进行细化具化，督促各级各部门做好日常公开工作。</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强化调研督导，多次到区县和市政府部门调研，当面“会诊”，</w:t>
      </w:r>
      <w:r>
        <w:rPr>
          <w:rFonts w:hint="eastAsia" w:ascii="仿宋" w:hAnsi="仿宋" w:eastAsia="仿宋"/>
          <w:color w:val="auto"/>
          <w:sz w:val="32"/>
          <w:szCs w:val="32"/>
          <w:lang w:val="en-US" w:eastAsia="zh-CN"/>
        </w:rPr>
        <w:t>帮助区县和部门查找工作短板，有针对性地进行指导，促进全市政务公开工作整体提升</w:t>
      </w:r>
      <w:r>
        <w:rPr>
          <w:rFonts w:hint="eastAsia" w:ascii="仿宋" w:hAnsi="仿宋" w:eastAsia="仿宋" w:cs="仿宋"/>
          <w:color w:val="auto"/>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420"/>
        <w:jc w:val="both"/>
        <w:textAlignment w:val="auto"/>
        <w:outlineLvl w:val="0"/>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六、其他需要报告的事项</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（一）信息处理费收取方面：</w:t>
      </w:r>
      <w:r>
        <w:rPr>
          <w:rFonts w:hint="eastAsia" w:ascii="仿宋_GB2312" w:hAnsi="仿宋_GB2312" w:eastAsia="仿宋_GB2312" w:cs="仿宋_GB2312"/>
          <w:color w:val="auto"/>
          <w:sz w:val="32"/>
          <w:szCs w:val="32"/>
          <w:lang w:val="en-US" w:eastAsia="zh-CN"/>
        </w:rPr>
        <w:t>2022年度，淄博市政府办公室在办理以及代市政府办理政府信息公开申请过程中，未收取信息处理费。</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（二）建议提案办理公开方面：</w:t>
      </w:r>
      <w:r>
        <w:rPr>
          <w:rFonts w:hint="eastAsia" w:ascii="仿宋_GB2312" w:hAnsi="仿宋_GB2312" w:eastAsia="仿宋_GB2312" w:cs="仿宋_GB2312"/>
          <w:color w:val="auto"/>
          <w:sz w:val="32"/>
          <w:szCs w:val="32"/>
          <w:lang w:val="en-US" w:eastAsia="zh-CN"/>
        </w:rPr>
        <w:t>2022年度，淄博市政府办公室未承办上级以及本级人大代表建议和政协委员提案，故无该类信息公开。</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eastAsia" w:ascii="宋体" w:hAnsi="宋体" w:eastAsia="宋体" w:cs="宋体"/>
          <w:i w:val="0"/>
          <w:caps w:val="0"/>
          <w:color w:val="auto"/>
          <w:spacing w:val="0"/>
          <w:kern w:val="2"/>
          <w:sz w:val="24"/>
          <w:szCs w:val="24"/>
          <w:shd w:val="clear" w:fill="FFFFFF"/>
          <w:lang w:val="en-US" w:eastAsia="zh-CN" w:bidi="ar-SA"/>
        </w:rPr>
      </w:pPr>
      <w:r>
        <w:rPr>
          <w:rFonts w:hint="eastAsia" w:ascii="仿宋_GB2312" w:hAnsi="仿宋_GB2312" w:eastAsia="仿宋_GB2312" w:cs="仿宋_GB2312"/>
          <w:b/>
          <w:bCs/>
          <w:color w:val="auto"/>
          <w:sz w:val="32"/>
          <w:szCs w:val="32"/>
          <w:lang w:val="en-US" w:eastAsia="zh-CN"/>
        </w:rPr>
        <w:t>（三）落实上级工作部署方面：</w:t>
      </w:r>
      <w:r>
        <w:rPr>
          <w:rFonts w:hint="eastAsia" w:ascii="仿宋_GB2312" w:hAnsi="仿宋_GB2312" w:eastAsia="仿宋_GB2312" w:cs="仿宋_GB2312"/>
          <w:color w:val="auto"/>
          <w:sz w:val="32"/>
          <w:szCs w:val="32"/>
          <w:lang w:val="en-US" w:eastAsia="zh-CN"/>
        </w:rPr>
        <w:t>根据国家、省政务公开2022年工作要点，制定《2022年淄博市政务公开工作方案》及《全市政务公开重点工作任务分解表》，以清单形式明确工作要求、责任单位、公开时限等内容，挂图作战、对表推进，确保上级部署任务全面落实。</w:t>
      </w:r>
    </w:p>
    <w:p>
      <w:pPr>
        <w:keepNext w:val="0"/>
        <w:keepLines w:val="0"/>
        <w:pageBreakBefore w:val="0"/>
        <w:kinsoku/>
        <w:overflowPunct/>
        <w:topLinePunct w:val="0"/>
        <w:autoSpaceDE/>
        <w:autoSpaceDN/>
        <w:bidi w:val="0"/>
        <w:adjustRightInd/>
        <w:snapToGrid/>
        <w:spacing w:line="240" w:lineRule="auto"/>
        <w:ind w:firstLine="64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（四）创新实践方面：一是</w:t>
      </w:r>
      <w:r>
        <w:rPr>
          <w:rFonts w:hint="eastAsia" w:ascii="仿宋_GB2312" w:hAnsi="仿宋_GB2312" w:eastAsia="仿宋_GB2312" w:cs="仿宋_GB2312"/>
          <w:color w:val="auto"/>
          <w:sz w:val="32"/>
          <w:szCs w:val="32"/>
          <w:lang w:val="en-US" w:eastAsia="zh-CN"/>
        </w:rPr>
        <w:t>营造公开浓厚氛围。利用5月15日《条例》修订实施3周年为契机，策划系列《条例》宣贯普法活动，在淄博日报发表分管市长署名文章，在淄博中心城区300余块户外电子显示屏投放以《条例》核心内容为主的公益广告，在全市54家政府网站统一发布庆祝标语并链接中央政府网《条例》页面，印刷《条例》1000册开展政策法规进社区活动，努力提升政务公开政策法规社会知晓度，倒逼行政机关依法做好政务公开工作。</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提升政府信息公开申请办理水平。开展依申请公开工作模拟暗访，查找各级各部门申请渠道、答复内容等方面存在的问题，通过案例点评、通报反馈等形式，提升全市政务公开工作人员信息公开申请办理能力。</w:t>
      </w:r>
    </w:p>
    <w:p>
      <w:pPr>
        <w:pStyle w:val="2"/>
        <w:keepNext w:val="0"/>
        <w:keepLines w:val="0"/>
        <w:pageBreakBefore w:val="0"/>
        <w:kinsoku/>
        <w:overflowPunct/>
        <w:topLinePunct w:val="0"/>
        <w:autoSpaceDE/>
        <w:autoSpaceDN/>
        <w:bidi w:val="0"/>
        <w:adjustRightInd/>
        <w:snapToGrid/>
        <w:spacing w:line="240" w:lineRule="auto"/>
        <w:textAlignment w:val="auto"/>
        <w:rPr>
          <w:rFonts w:hint="eastAsia" w:ascii="宋体" w:hAnsi="宋体" w:eastAsia="宋体" w:cs="宋体"/>
          <w:i w:val="0"/>
          <w:caps w:val="0"/>
          <w:color w:val="auto"/>
          <w:spacing w:val="0"/>
          <w:kern w:val="2"/>
          <w:sz w:val="24"/>
          <w:szCs w:val="24"/>
          <w:shd w:val="clear" w:fill="FFFFFF"/>
          <w:lang w:val="en-US" w:eastAsia="zh-CN" w:bidi="ar-SA"/>
        </w:rPr>
      </w:pPr>
    </w:p>
    <w:p>
      <w:pPr>
        <w:keepNext w:val="0"/>
        <w:keepLines w:val="0"/>
        <w:pageBreakBefore w:val="0"/>
        <w:kinsoku/>
        <w:overflowPunct/>
        <w:topLinePunct w:val="0"/>
        <w:autoSpaceDE/>
        <w:autoSpaceDN/>
        <w:bidi w:val="0"/>
        <w:adjustRightInd/>
        <w:snapToGrid/>
        <w:spacing w:line="240" w:lineRule="auto"/>
        <w:textAlignment w:val="auto"/>
        <w:rPr>
          <w:rFonts w:hint="eastAsia"/>
          <w:color w:va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4D54AE"/>
    <w:rsid w:val="0D72249E"/>
    <w:rsid w:val="11AF18C8"/>
    <w:rsid w:val="1277D0B5"/>
    <w:rsid w:val="141D2158"/>
    <w:rsid w:val="14A02B65"/>
    <w:rsid w:val="17397A4B"/>
    <w:rsid w:val="1A6A77C7"/>
    <w:rsid w:val="1FF595B6"/>
    <w:rsid w:val="2F6F1AFF"/>
    <w:rsid w:val="2FC78BF0"/>
    <w:rsid w:val="35EFF20A"/>
    <w:rsid w:val="3AEF02D4"/>
    <w:rsid w:val="3C7E7E4E"/>
    <w:rsid w:val="3DCD6559"/>
    <w:rsid w:val="3DFB8D3C"/>
    <w:rsid w:val="3DFB99D1"/>
    <w:rsid w:val="3E7F36D0"/>
    <w:rsid w:val="3FC5230C"/>
    <w:rsid w:val="3FDF1198"/>
    <w:rsid w:val="4E7FC4CC"/>
    <w:rsid w:val="57AD9525"/>
    <w:rsid w:val="57F3F7E7"/>
    <w:rsid w:val="57FE5309"/>
    <w:rsid w:val="59794152"/>
    <w:rsid w:val="5B6FEB67"/>
    <w:rsid w:val="5BFBB38F"/>
    <w:rsid w:val="5DBDDAC2"/>
    <w:rsid w:val="5F5E770C"/>
    <w:rsid w:val="5FFFFDF5"/>
    <w:rsid w:val="640A5F1B"/>
    <w:rsid w:val="645F063B"/>
    <w:rsid w:val="673F93BB"/>
    <w:rsid w:val="677BA3A0"/>
    <w:rsid w:val="67BB3E74"/>
    <w:rsid w:val="67EDC688"/>
    <w:rsid w:val="6BDFAB47"/>
    <w:rsid w:val="6D9F6D80"/>
    <w:rsid w:val="6F7F23F8"/>
    <w:rsid w:val="6FAC3CC5"/>
    <w:rsid w:val="6FDBBEDC"/>
    <w:rsid w:val="6FF7D85F"/>
    <w:rsid w:val="71F783B2"/>
    <w:rsid w:val="73DF2B86"/>
    <w:rsid w:val="74DC48C7"/>
    <w:rsid w:val="756E8F79"/>
    <w:rsid w:val="76EFD51D"/>
    <w:rsid w:val="77181135"/>
    <w:rsid w:val="77310FFD"/>
    <w:rsid w:val="79AF2E2B"/>
    <w:rsid w:val="7BEDC822"/>
    <w:rsid w:val="7BFDF3B2"/>
    <w:rsid w:val="7CB11502"/>
    <w:rsid w:val="7D369DF1"/>
    <w:rsid w:val="7DB6C2F6"/>
    <w:rsid w:val="7EFEAC55"/>
    <w:rsid w:val="7F7E28FE"/>
    <w:rsid w:val="7F7F00C0"/>
    <w:rsid w:val="7F7F58B2"/>
    <w:rsid w:val="7FD601A3"/>
    <w:rsid w:val="7FDA883E"/>
    <w:rsid w:val="7FDDE8D1"/>
    <w:rsid w:val="7FEF1F45"/>
    <w:rsid w:val="7FF2F1A5"/>
    <w:rsid w:val="7FF729C6"/>
    <w:rsid w:val="7FFDCC8E"/>
    <w:rsid w:val="947C099F"/>
    <w:rsid w:val="9F7FDD8D"/>
    <w:rsid w:val="ADDAF8AB"/>
    <w:rsid w:val="BA152C5D"/>
    <w:rsid w:val="BAF2F073"/>
    <w:rsid w:val="BBFFB0B8"/>
    <w:rsid w:val="BDDECC65"/>
    <w:rsid w:val="BEB511C8"/>
    <w:rsid w:val="BF7D3FEB"/>
    <w:rsid w:val="BFBFABF7"/>
    <w:rsid w:val="CFC9F3D3"/>
    <w:rsid w:val="D91FDCF4"/>
    <w:rsid w:val="DAFE9054"/>
    <w:rsid w:val="DE2B9B97"/>
    <w:rsid w:val="DEB6F01E"/>
    <w:rsid w:val="DF36E5AA"/>
    <w:rsid w:val="DF7B3E28"/>
    <w:rsid w:val="DF7C9A19"/>
    <w:rsid w:val="DFEFC332"/>
    <w:rsid w:val="E7BBD8E3"/>
    <w:rsid w:val="EA524380"/>
    <w:rsid w:val="ECE3CAE8"/>
    <w:rsid w:val="ECEDB5BD"/>
    <w:rsid w:val="EDBEEC14"/>
    <w:rsid w:val="EDD9EA72"/>
    <w:rsid w:val="F027511C"/>
    <w:rsid w:val="F3FFD960"/>
    <w:rsid w:val="F51F29A1"/>
    <w:rsid w:val="F78DBD89"/>
    <w:rsid w:val="F7BE33EE"/>
    <w:rsid w:val="F7E6D219"/>
    <w:rsid w:val="F7FD79D0"/>
    <w:rsid w:val="FA9E578C"/>
    <w:rsid w:val="FBFEEB06"/>
    <w:rsid w:val="FBFFF8FA"/>
    <w:rsid w:val="FCAE9275"/>
    <w:rsid w:val="FCD1EB9F"/>
    <w:rsid w:val="FDFF28B3"/>
    <w:rsid w:val="FE76ACBB"/>
    <w:rsid w:val="FED6E720"/>
    <w:rsid w:val="FF771102"/>
    <w:rsid w:val="FFB6A4CE"/>
    <w:rsid w:val="FFFC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政府文件公开情况</a:t>
            </a:r>
            <a:endParaRPr b="1"/>
          </a:p>
        </c:rich>
      </c:tx>
      <c:layout>
        <c:manualLayout>
          <c:xMode val="edge"/>
          <c:yMode val="edge"/>
          <c:x val="0.174138416541201"/>
          <c:y val="0.00933125972006221"/>
        </c:manualLayout>
      </c:layout>
      <c:overlay val="false"/>
      <c:spPr>
        <a:noFill/>
        <a:ln>
          <a:noFill/>
        </a:ln>
        <a:effectLst/>
      </c:spPr>
    </c:title>
    <c:autoTitleDeleted val="false"/>
    <c:plotArea>
      <c:layout>
        <c:manualLayout>
          <c:layoutTarget val="inner"/>
          <c:xMode val="edge"/>
          <c:yMode val="edge"/>
          <c:x val="0.29"/>
          <c:y val="0.139418701576375"/>
          <c:w val="0.372178656523584"/>
          <c:h val="0.428309780372386"/>
        </c:manualLayout>
      </c:layout>
      <c:pieChart>
        <c:varyColors val="true"/>
        <c:ser>
          <c:idx val="0"/>
          <c:order val="0"/>
          <c:tx>
            <c:strRef>
              <c:f>Sheet1!$B$1</c:f>
              <c:strCache>
                <c:ptCount val="1"/>
                <c:pt idx="0">
                  <c:v>政府文件公开情况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delete val="true"/>
          </c:dLbls>
          <c:cat>
            <c:strRef>
              <c:f>Sheet1!$A$2:$A$6</c:f>
              <c:strCache>
                <c:ptCount val="5"/>
                <c:pt idx="0">
                  <c:v>市政府规章2件</c:v>
                </c:pt>
                <c:pt idx="1">
                  <c:v>市政府规范性文件1件</c:v>
                </c:pt>
                <c:pt idx="2">
                  <c:v>市政府普通文件95件</c:v>
                </c:pt>
                <c:pt idx="3">
                  <c:v>市政府办公室规范性文件8件</c:v>
                </c:pt>
                <c:pt idx="4">
                  <c:v>市政府办公室普通文件50件</c:v>
                </c:pt>
              </c:strCache>
            </c:strRef>
          </c:cat>
          <c:val>
            <c:numRef>
              <c:f>Sheet1!$B$2:$B$6</c:f>
              <c:numCache>
                <c:formatCode>General</c:formatCode>
                <c:ptCount val="5"/>
                <c:pt idx="0">
                  <c:v>2</c:v>
                </c:pt>
                <c:pt idx="1">
                  <c:v>1</c:v>
                </c:pt>
                <c:pt idx="2">
                  <c:v>95</c:v>
                </c:pt>
                <c:pt idx="3">
                  <c:v>8</c:v>
                </c:pt>
                <c:pt idx="4">
                  <c:v>50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7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7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00789473684210526"/>
          <c:y val="0.566020593579649"/>
          <c:w val="0.984210526315789"/>
          <c:h val="0.424894003634161"/>
        </c:manualLayout>
      </c:layout>
      <c:overlay val="false"/>
      <c:spPr>
        <a:noFill/>
        <a:ln>
          <a:noFill/>
        </a:ln>
        <a:effectLst/>
      </c:spPr>
      <c:txPr>
        <a:bodyPr rot="0" spcFirstLastPara="0" vertOverflow="ellipsis" vert="horz" wrap="square" anchor="ctr" anchorCtr="true"/>
        <a:lstStyle/>
        <a:p>
          <a:pPr>
            <a:defRPr lang="zh-CN" sz="75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accent6">
        <a:lumMod val="60000"/>
        <a:lumOff val="40000"/>
      </a:schemeClr>
    </a:solidFill>
    <a:ln w="9525" cap="flat" cmpd="sng" algn="ctr">
      <a:solidFill>
        <a:schemeClr val="tx1"/>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t>历年政府信息公开申请数量对比图</a:t>
            </a:r>
            <a:endParaRPr b="1"/>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数量</c:v>
                </c:pt>
              </c:strCache>
            </c:strRef>
          </c:tx>
          <c:spPr>
            <a:solidFill>
              <a:schemeClr val="accent1"/>
            </a:solidFill>
            <a:ln>
              <a:noFill/>
            </a:ln>
            <a:effectLst>
              <a:outerShdw blurRad="50800" dist="114300" dir="3600000" algn="ctr" rotWithShape="0">
                <a:srgbClr val="000000">
                  <a:alpha val="43000"/>
                </a:srgbClr>
              </a:outerShdw>
            </a:effectLst>
          </c:spPr>
          <c:invertIfNegative val="false"/>
          <c:dLbls>
            <c:delete val="true"/>
          </c:dLbls>
          <c:cat>
            <c:strRef>
              <c:extLst>
                <c:ext xmlns:c15="http://schemas.microsoft.com/office/drawing/2012/chart" uri="{02D57815-91ED-43cb-92C2-25804820EDAC}">
                  <c15:fullRef>
                    <c15:sqref>Sheet1!$A$2:$A$7</c15:sqref>
                  </c15:fullRef>
                </c:ext>
              </c:extLst>
              <c:f>Sheet1!$A$2:$A$7</c:f>
              <c:strCache>
                <c:ptCount val="6"/>
                <c:pt idx="0">
                  <c:v>2017年</c:v>
                </c:pt>
                <c:pt idx="1">
                  <c:v>2018年</c:v>
                </c:pt>
                <c:pt idx="2">
                  <c:v>2019年</c:v>
                </c:pt>
                <c:pt idx="3">
                  <c:v>2020年</c:v>
                </c:pt>
                <c:pt idx="4">
                  <c:v>2021年</c:v>
                </c:pt>
                <c:pt idx="5">
                  <c:v>2022年</c:v>
                </c:pt>
              </c:strCache>
            </c:strRef>
          </c:cat>
          <c:val>
            <c:numRef>
              <c:extLst>
                <c:ext xmlns:c15="http://schemas.microsoft.com/office/drawing/2012/chart" uri="{02D57815-91ED-43cb-92C2-25804820EDAC}">
                  <c15:fullRef>
                    <c15:sqref>Sheet1!$B$2:$B$8</c15:sqref>
                  </c15:fullRef>
                </c:ext>
              </c:extLst>
              <c:f>Sheet1!$B$2:$B$7</c:f>
              <c:numCache>
                <c:formatCode>General</c:formatCode>
                <c:ptCount val="6"/>
                <c:pt idx="0">
                  <c:v>107</c:v>
                </c:pt>
                <c:pt idx="1">
                  <c:v>100</c:v>
                </c:pt>
                <c:pt idx="2">
                  <c:v>124</c:v>
                </c:pt>
                <c:pt idx="3">
                  <c:v>88</c:v>
                </c:pt>
                <c:pt idx="4">
                  <c:v>149</c:v>
                </c:pt>
                <c:pt idx="5">
                  <c:v>257</c:v>
                </c:pt>
              </c:numCache>
            </c:numRef>
          </c:val>
        </c:ser>
        <c:dLbls>
          <c:showLegendKey val="false"/>
          <c:showVal val="false"/>
          <c:showCatName val="false"/>
          <c:showSerName val="false"/>
          <c:showPercent val="false"/>
          <c:showBubbleSize val="false"/>
        </c:dLbls>
        <c:gapWidth val="219"/>
        <c:overlap val="-27"/>
        <c:axId val="330235169"/>
        <c:axId val="394940573"/>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false"/>
                <c:dLbls>
                  <c:delete val="true"/>
                </c:dLbls>
                <c:cat>
                  <c:strRef>
                    <c:extLst>
                      <c:ext uri="{02D57815-91ED-43cb-92C2-25804820EDAC}">
                        <c15:fullRef>
                          <c15:sqref>Sheet1!$A$2:$A$7</c15:sqref>
                        </c15:fullRef>
                        <c15:formulaRef>
                          <c15:sqref>Sheet1!$A$2:$A$7</c15:sqref>
                        </c15:formulaRef>
                      </c:ext>
                    </c:extLst>
                    <c:strCache>
                      <c:ptCount val="6"/>
                      <c:pt idx="0">
                        <c:v>2017年</c:v>
                      </c:pt>
                      <c:pt idx="1">
                        <c:v>2018年</c:v>
                      </c:pt>
                      <c:pt idx="2">
                        <c:v>2019年</c:v>
                      </c:pt>
                      <c:pt idx="3">
                        <c:v>2020年</c:v>
                      </c:pt>
                      <c:pt idx="4">
                        <c:v>2021年</c:v>
                      </c:pt>
                      <c:pt idx="5">
                        <c:v>2022年</c:v>
                      </c:pt>
                    </c:strCache>
                  </c:strRef>
                </c:cat>
                <c:val>
                  <c:numRef>
                    <c:extLst>
                      <c:ext uri="{02D57815-91ED-43cb-92C2-25804820EDAC}">
                        <c15:fullRef>
                          <c15:sqref>Sheet1!$C$2:$C$8</c15:sqref>
                        </c15:fullRef>
                        <c15:formulaRef>
                          <c15:sqref>Sheet1!$C$2:$C$7</c15:sqref>
                        </c15:formulaRef>
                      </c:ext>
                    </c:extLst>
                    <c:numCache>
                      <c:formatCode>General</c:formatCode>
                      <c:ptCount val="6"/>
                    </c:numCache>
                  </c:numRef>
                </c:val>
              </c15:ser>
            </c15:filteredBarSeries>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Sheet1!$A$2:$A$7</c15:sqref>
                        </c15:fullRef>
                        <c15:formulaRef>
                          <c15:sqref>Sheet1!$A$2:$A$7</c15:sqref>
                        </c15:formulaRef>
                      </c:ext>
                    </c:extLst>
                    <c:strCache>
                      <c:ptCount val="6"/>
                      <c:pt idx="0">
                        <c:v>2017年</c:v>
                      </c:pt>
                      <c:pt idx="1">
                        <c:v>2018年</c:v>
                      </c:pt>
                      <c:pt idx="2">
                        <c:v>2019年</c:v>
                      </c:pt>
                      <c:pt idx="3">
                        <c:v>2020年</c:v>
                      </c:pt>
                      <c:pt idx="4">
                        <c:v>2021年</c:v>
                      </c:pt>
                      <c:pt idx="5">
                        <c:v>2022年</c:v>
                      </c:pt>
                    </c:strCache>
                  </c:strRef>
                </c:cat>
                <c:val>
                  <c:numRef>
                    <c:extLst>
                      <c:ext uri="{02D57815-91ED-43cb-92C2-25804820EDAC}">
                        <c15:fullRef>
                          <c15:sqref>Sheet1!$D$2:$D$8</c15:sqref>
                        </c15:fullRef>
                        <c15:formulaRef>
                          <c15:sqref>Sheet1!$D$2:$D$7</c15:sqref>
                        </c15:formulaRef>
                      </c:ext>
                    </c:extLst>
                    <c:numCache>
                      <c:formatCode>General</c:formatCode>
                      <c:ptCount val="6"/>
                    </c:numCache>
                  </c:numRef>
                </c:val>
              </c15:ser>
            </c15:filteredBarSeries>
          </c:ext>
        </c:extLst>
      </c:barChart>
      <c:catAx>
        <c:axId val="33023516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94940573"/>
        <c:crosses val="autoZero"/>
        <c:auto val="true"/>
        <c:lblAlgn val="ctr"/>
        <c:lblOffset val="100"/>
        <c:noMultiLvlLbl val="false"/>
      </c:catAx>
      <c:valAx>
        <c:axId val="39494057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3023516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2"/>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2023-01-22T15:45:00Z</dcterms:created>
  <dc:creator>诗人与熊</dc:creator>
  <cp:lastModifiedBy>admin</cp:lastModifiedBy>
  <cp:lastPrinted>2023-01-31T16:38:00Z</cp:lastPrinted>
  <dcterms:modified xsi:type="dcterms:W3CDTF">2023-03-02T11:51:39Z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AA997AA0745C4772A4196D817533ED9B</vt:lpwstr>
  </property>
</Properties>
</file>