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78" w:beforeLines="25"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78" w:beforeLines="25"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78" w:beforeLines="25"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sz w:val="36"/>
          <w:szCs w:val="36"/>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1120" w:lineRule="exact"/>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淄政研发〔20</w:t>
      </w:r>
      <w:r>
        <w:rPr>
          <w:rFonts w:hint="default" w:ascii="Times New Roman" w:hAnsi="Times New Roman" w:eastAsia="仿宋_GB2312" w:cs="Times New Roman"/>
          <w:sz w:val="32"/>
          <w:szCs w:val="32"/>
          <w:lang w:val="en-US" w:eastAsia="zh-CN"/>
        </w:rPr>
        <w:t>23〕2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9"/>
        <w:rPr>
          <w:rFonts w:hint="default" w:ascii="Times New Roman" w:hAnsi="Times New Roman" w:eastAsia="华文中宋"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淄博市人民政府研究室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关于</w:t>
      </w:r>
      <w:r>
        <w:rPr>
          <w:rFonts w:hint="default" w:ascii="Times New Roman" w:hAnsi="Times New Roman" w:eastAsia="方正小标宋简体" w:cs="Times New Roman"/>
          <w:kern w:val="0"/>
          <w:sz w:val="44"/>
          <w:szCs w:val="44"/>
          <w:lang w:eastAsia="zh-CN"/>
        </w:rPr>
        <w:t>公布</w:t>
      </w:r>
      <w:r>
        <w:rPr>
          <w:rFonts w:hint="default" w:ascii="Times New Roman" w:hAnsi="Times New Roman" w:eastAsia="方正小标宋简体" w:cs="Times New Roman"/>
          <w:kern w:val="0"/>
          <w:sz w:val="44"/>
          <w:szCs w:val="44"/>
          <w:lang w:val="en-US" w:eastAsia="zh-CN"/>
        </w:rPr>
        <w:t>2022</w:t>
      </w:r>
      <w:r>
        <w:rPr>
          <w:rFonts w:hint="default" w:ascii="Times New Roman" w:hAnsi="Times New Roman" w:eastAsia="方正小标宋简体" w:cs="Times New Roman"/>
          <w:kern w:val="0"/>
          <w:sz w:val="44"/>
          <w:szCs w:val="44"/>
        </w:rPr>
        <w:t>年度全市政府系统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优秀调研成果</w:t>
      </w:r>
      <w:r>
        <w:rPr>
          <w:rFonts w:hint="default" w:ascii="Times New Roman" w:hAnsi="Times New Roman" w:eastAsia="方正小标宋简体" w:cs="Times New Roman"/>
          <w:kern w:val="0"/>
          <w:sz w:val="44"/>
          <w:szCs w:val="44"/>
          <w:lang w:val="en-US" w:eastAsia="zh-CN"/>
        </w:rPr>
        <w:t>等级评定结果</w:t>
      </w:r>
      <w:r>
        <w:rPr>
          <w:rFonts w:hint="default" w:ascii="Times New Roman" w:hAnsi="Times New Roman" w:eastAsia="方正小标宋简体" w:cs="Times New Roman"/>
          <w:kern w:val="0"/>
          <w:sz w:val="44"/>
          <w:szCs w:val="44"/>
        </w:rPr>
        <w:t>的通</w:t>
      </w:r>
      <w:r>
        <w:rPr>
          <w:rFonts w:hint="default" w:ascii="Times New Roman" w:hAnsi="Times New Roman" w:eastAsia="方正小标宋简体" w:cs="Times New Roman"/>
          <w:kern w:val="0"/>
          <w:sz w:val="44"/>
          <w:szCs w:val="44"/>
          <w:lang w:eastAsia="zh-CN"/>
        </w:rPr>
        <w:t>知</w:t>
      </w:r>
    </w:p>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各区县人民政府办公室，高新区、经济开发区、文昌湖区管委会办公室，市政府各部门，各有关单位，各高等院校：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年，市政府研究室</w:t>
      </w:r>
      <w:r>
        <w:rPr>
          <w:rFonts w:hint="default" w:ascii="Times New Roman" w:hAnsi="Times New Roman" w:eastAsia="仿宋_GB2312" w:cs="Times New Roman"/>
          <w:sz w:val="32"/>
          <w:szCs w:val="32"/>
          <w:lang w:eastAsia="zh-CN"/>
        </w:rPr>
        <w:t>围绕中心、服务大局，</w:t>
      </w:r>
      <w:r>
        <w:rPr>
          <w:rFonts w:hint="default" w:ascii="Times New Roman" w:hAnsi="Times New Roman" w:eastAsia="仿宋_GB2312" w:cs="Times New Roman"/>
          <w:sz w:val="32"/>
          <w:szCs w:val="32"/>
        </w:rPr>
        <w:t>策划开展了全市政府系统“</w:t>
      </w:r>
      <w:r>
        <w:rPr>
          <w:rFonts w:hint="default" w:ascii="Times New Roman" w:hAnsi="Times New Roman" w:eastAsia="仿宋_GB2312" w:cs="Times New Roman"/>
          <w:sz w:val="32"/>
          <w:szCs w:val="32"/>
          <w:lang w:eastAsia="zh-CN"/>
        </w:rPr>
        <w:t>品质提升年</w:t>
      </w:r>
      <w:r>
        <w:rPr>
          <w:rFonts w:hint="default" w:ascii="Times New Roman" w:hAnsi="Times New Roman" w:eastAsia="仿宋_GB2312" w:cs="Times New Roman"/>
          <w:sz w:val="32"/>
          <w:szCs w:val="32"/>
        </w:rPr>
        <w:t>”百题调研</w:t>
      </w:r>
      <w:r>
        <w:rPr>
          <w:rFonts w:hint="default"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。各区县、各有关部门单位</w:t>
      </w:r>
      <w:r>
        <w:rPr>
          <w:rFonts w:hint="default" w:ascii="Times New Roman" w:hAnsi="Times New Roman" w:eastAsia="仿宋_GB2312" w:cs="Times New Roman"/>
          <w:sz w:val="32"/>
          <w:szCs w:val="32"/>
          <w:lang w:eastAsia="zh-CN"/>
        </w:rPr>
        <w:t>精心组织实施，深入开展调查研究，一批高质量调研成果进入市委、市政府决策，为助推全市高质量发展作出了积极贡献。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近期，市政府研究室</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了202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年度全市政府系统优秀调研成果等级评定，共评选出一等成果</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rPr>
        <w:t>篇、二等成果</w:t>
      </w: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篇、三等成果</w:t>
      </w: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篇，现予以公布。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全市政府调研系统要坚持以习近平新时代中国特色社会主义思想为指导，深入贯彻党的</w:t>
      </w:r>
      <w:r>
        <w:rPr>
          <w:rFonts w:hint="default" w:ascii="Times New Roman" w:hAnsi="Times New Roman" w:eastAsia="仿宋_GB2312" w:cs="Times New Roman"/>
          <w:sz w:val="32"/>
          <w:szCs w:val="32"/>
          <w:lang w:eastAsia="zh-CN"/>
        </w:rPr>
        <w:t>二十大</w:t>
      </w:r>
      <w:r>
        <w:rPr>
          <w:rFonts w:hint="default" w:ascii="Times New Roman" w:hAnsi="Times New Roman" w:eastAsia="仿宋_GB2312" w:cs="Times New Roman"/>
          <w:sz w:val="32"/>
          <w:szCs w:val="32"/>
        </w:rPr>
        <w:t>精神，</w:t>
      </w:r>
      <w:r>
        <w:rPr>
          <w:rFonts w:hint="default" w:ascii="Times New Roman" w:hAnsi="Times New Roman" w:eastAsia="仿宋_GB2312" w:cs="Times New Roman"/>
          <w:sz w:val="32"/>
          <w:szCs w:val="32"/>
          <w:lang w:eastAsia="zh-CN"/>
        </w:rPr>
        <w:t>全面落实党中央关于在全党大兴调查研究的决策部署，聚焦“</w:t>
      </w:r>
      <w:r>
        <w:rPr>
          <w:rFonts w:hint="default" w:ascii="Times New Roman" w:hAnsi="Times New Roman" w:eastAsia="仿宋_GB2312" w:cs="Times New Roman"/>
          <w:sz w:val="32"/>
          <w:szCs w:val="32"/>
          <w:lang w:val="en-US" w:eastAsia="zh-CN"/>
        </w:rPr>
        <w:t>3510</w:t>
      </w:r>
      <w:r>
        <w:rPr>
          <w:rFonts w:hint="default" w:ascii="Times New Roman" w:hAnsi="Times New Roman" w:eastAsia="仿宋_GB2312" w:cs="Times New Roman"/>
          <w:sz w:val="32"/>
          <w:szCs w:val="32"/>
          <w:lang w:eastAsia="zh-CN"/>
        </w:rPr>
        <w:t>”发展目标和“强富美优”城市愿景，</w:t>
      </w:r>
      <w:r>
        <w:rPr>
          <w:rFonts w:hint="default" w:ascii="Times New Roman" w:hAnsi="Times New Roman" w:eastAsia="仿宋_GB2312" w:cs="Times New Roman"/>
          <w:sz w:val="32"/>
          <w:szCs w:val="32"/>
        </w:rPr>
        <w:t>扎实开展202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年全市政府系统“</w:t>
      </w:r>
      <w:r>
        <w:rPr>
          <w:rFonts w:hint="default" w:ascii="Times New Roman" w:hAnsi="Times New Roman" w:eastAsia="仿宋_GB2312" w:cs="Times New Roman"/>
          <w:sz w:val="32"/>
          <w:szCs w:val="32"/>
          <w:lang w:eastAsia="zh-CN"/>
        </w:rPr>
        <w:t>强富美优</w:t>
      </w:r>
      <w:r>
        <w:rPr>
          <w:rFonts w:hint="default" w:ascii="Times New Roman" w:hAnsi="Times New Roman" w:eastAsia="仿宋_GB2312" w:cs="Times New Roman"/>
          <w:sz w:val="32"/>
          <w:szCs w:val="32"/>
        </w:rPr>
        <w:t>”百题调研，努力形成更多高质量调研成果，为</w:t>
      </w:r>
      <w:r>
        <w:rPr>
          <w:rFonts w:hint="default" w:ascii="Times New Roman" w:hAnsi="Times New Roman" w:eastAsia="仿宋_GB2312" w:cs="Times New Roman"/>
          <w:sz w:val="32"/>
          <w:szCs w:val="32"/>
          <w:lang w:eastAsia="zh-CN"/>
        </w:rPr>
        <w:t>新时代社会主义现代化强市建设贡献</w:t>
      </w:r>
      <w:r>
        <w:rPr>
          <w:rFonts w:hint="default" w:ascii="Times New Roman" w:hAnsi="Times New Roman" w:eastAsia="仿宋_GB2312" w:cs="Times New Roman"/>
          <w:sz w:val="32"/>
          <w:szCs w:val="32"/>
        </w:rPr>
        <w:t>调研工作智慧和力量。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年度全市政府系统优秀调研成果等级评定名单</w:t>
      </w:r>
    </w:p>
    <w:p>
      <w:pPr>
        <w:keepNext w:val="0"/>
        <w:keepLines w:val="0"/>
        <w:pageBreakBefore w:val="0"/>
        <w:widowControl/>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淄博市人民政府研究室</w:t>
      </w:r>
    </w:p>
    <w:p>
      <w:pPr>
        <w:keepNext w:val="0"/>
        <w:keepLines w:val="0"/>
        <w:pageBreakBefore w:val="0"/>
        <w:widowControl/>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年5月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default" w:ascii="Times New Roman" w:hAnsi="Times New Roman" w:eastAsia="黑体" w:cs="Times New Roman"/>
          <w:sz w:val="36"/>
          <w:szCs w:val="36"/>
        </w:rPr>
      </w:pPr>
    </w:p>
    <w:p>
      <w:pPr>
        <w:keepNext w:val="0"/>
        <w:keepLines w:val="0"/>
        <w:pageBreakBefore w:val="0"/>
        <w:widowControl/>
        <w:kinsoku/>
        <w:wordWrap/>
        <w:overflowPunct/>
        <w:topLinePunct w:val="0"/>
        <w:autoSpaceDE/>
        <w:autoSpaceDN/>
        <w:bidi w:val="0"/>
        <w:adjustRightInd/>
        <w:snapToGrid/>
        <w:spacing w:beforeLines="0" w:afterLines="0" w:line="600" w:lineRule="exact"/>
        <w:jc w:val="left"/>
        <w:textAlignment w:val="auto"/>
        <w:outlineLvl w:val="9"/>
        <w:rPr>
          <w:rFonts w:hint="default" w:ascii="Times New Roman" w:hAnsi="Times New Roman" w:eastAsia="黑体" w:cs="Times New Roman"/>
          <w:color w:val="000000"/>
          <w:spacing w:val="-6"/>
          <w:kern w:val="0"/>
          <w:sz w:val="32"/>
          <w:szCs w:val="32"/>
        </w:rPr>
      </w:pPr>
    </w:p>
    <w:p>
      <w:pPr>
        <w:keepNext w:val="0"/>
        <w:keepLines w:val="0"/>
        <w:pageBreakBefore w:val="0"/>
        <w:widowControl/>
        <w:kinsoku/>
        <w:wordWrap/>
        <w:overflowPunct/>
        <w:topLinePunct w:val="0"/>
        <w:autoSpaceDE/>
        <w:autoSpaceDN/>
        <w:bidi w:val="0"/>
        <w:adjustRightInd/>
        <w:snapToGrid/>
        <w:spacing w:beforeLines="0" w:afterLines="0" w:line="600" w:lineRule="exact"/>
        <w:jc w:val="left"/>
        <w:textAlignment w:val="auto"/>
        <w:outlineLvl w:val="9"/>
        <w:rPr>
          <w:rFonts w:hint="default" w:ascii="Times New Roman" w:hAnsi="Times New Roman" w:eastAsia="黑体" w:cs="Times New Roman"/>
          <w:color w:val="000000"/>
          <w:spacing w:val="-6"/>
          <w:kern w:val="0"/>
          <w:sz w:val="32"/>
          <w:szCs w:val="32"/>
        </w:rPr>
      </w:pPr>
    </w:p>
    <w:p>
      <w:pPr>
        <w:keepNext w:val="0"/>
        <w:keepLines w:val="0"/>
        <w:pageBreakBefore w:val="0"/>
        <w:widowControl/>
        <w:kinsoku/>
        <w:wordWrap/>
        <w:overflowPunct/>
        <w:topLinePunct w:val="0"/>
        <w:autoSpaceDE/>
        <w:autoSpaceDN/>
        <w:bidi w:val="0"/>
        <w:adjustRightInd/>
        <w:snapToGrid/>
        <w:spacing w:beforeLines="0" w:afterLines="0" w:line="600" w:lineRule="exact"/>
        <w:jc w:val="left"/>
        <w:textAlignment w:val="auto"/>
        <w:outlineLvl w:val="9"/>
        <w:rPr>
          <w:rFonts w:hint="default" w:ascii="Times New Roman" w:hAnsi="Times New Roman" w:eastAsia="黑体" w:cs="Times New Roman"/>
          <w:color w:val="000000"/>
          <w:spacing w:val="-6"/>
          <w:kern w:val="0"/>
          <w:sz w:val="32"/>
          <w:szCs w:val="32"/>
        </w:rPr>
      </w:pPr>
    </w:p>
    <w:p>
      <w:pPr>
        <w:keepNext w:val="0"/>
        <w:keepLines w:val="0"/>
        <w:pageBreakBefore w:val="0"/>
        <w:widowControl/>
        <w:kinsoku/>
        <w:wordWrap/>
        <w:overflowPunct/>
        <w:topLinePunct w:val="0"/>
        <w:autoSpaceDE/>
        <w:autoSpaceDN/>
        <w:bidi w:val="0"/>
        <w:adjustRightInd/>
        <w:snapToGrid/>
        <w:spacing w:beforeLines="0" w:afterLines="0" w:line="600" w:lineRule="exact"/>
        <w:jc w:val="left"/>
        <w:textAlignment w:val="auto"/>
        <w:outlineLvl w:val="9"/>
        <w:rPr>
          <w:rFonts w:hint="default" w:ascii="Times New Roman" w:hAnsi="Times New Roman" w:eastAsia="黑体" w:cs="Times New Roman"/>
          <w:color w:val="000000"/>
          <w:spacing w:val="-6"/>
          <w:kern w:val="0"/>
          <w:sz w:val="32"/>
          <w:szCs w:val="32"/>
        </w:rPr>
      </w:pPr>
    </w:p>
    <w:p>
      <w:pPr>
        <w:wordWrap w:val="0"/>
        <w:spacing w:line="600" w:lineRule="exact"/>
        <w:ind w:right="-512" w:rightChars="-244"/>
        <w:jc w:val="both"/>
        <w:rPr>
          <w:rFonts w:hint="default" w:ascii="Times New Roman" w:hAnsi="Times New Roman" w:eastAsia="楷体_GB2312" w:cs="Times New Roman"/>
          <w:sz w:val="32"/>
          <w:szCs w:val="32"/>
          <w:lang w:eastAsia="zh-CN"/>
        </w:rPr>
      </w:pPr>
      <w:bookmarkStart w:id="0" w:name="_GoBack"/>
      <w:bookmarkEnd w:id="0"/>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Droid Sans Fallback"/>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2CE6"/>
    <w:rsid w:val="01823D92"/>
    <w:rsid w:val="0BAE1CA2"/>
    <w:rsid w:val="19CD323E"/>
    <w:rsid w:val="1B152A82"/>
    <w:rsid w:val="1D8E16DA"/>
    <w:rsid w:val="255C1A9C"/>
    <w:rsid w:val="3356231A"/>
    <w:rsid w:val="3C093C0E"/>
    <w:rsid w:val="44B2091E"/>
    <w:rsid w:val="499C39D2"/>
    <w:rsid w:val="516F3F90"/>
    <w:rsid w:val="5BE670B6"/>
    <w:rsid w:val="5F1469F8"/>
    <w:rsid w:val="5F9C18D1"/>
    <w:rsid w:val="606B6FC8"/>
    <w:rsid w:val="667E142E"/>
    <w:rsid w:val="6A781032"/>
    <w:rsid w:val="6EA845DD"/>
    <w:rsid w:val="6FEC71ED"/>
    <w:rsid w:val="7BBF285D"/>
    <w:rsid w:val="7D8747A7"/>
    <w:rsid w:val="E75FC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0"/>
    <w:rPr>
      <w:rFonts w:hint="eastAsia" w:ascii="宋体" w:hAnsi="宋体" w:eastAsia="宋体" w:cs="宋体"/>
      <w:color w:val="000000"/>
      <w:sz w:val="28"/>
      <w:szCs w:val="28"/>
      <w:u w:val="none"/>
    </w:rPr>
  </w:style>
  <w:style w:type="character" w:customStyle="1" w:styleId="9">
    <w:name w:val="font11"/>
    <w:basedOn w:val="7"/>
    <w:qFormat/>
    <w:uiPriority w:val="0"/>
    <w:rPr>
      <w:rFonts w:hint="eastAsia" w:ascii="仿宋_GB2312" w:eastAsia="仿宋_GB2312" w:cs="仿宋_GB2312"/>
      <w:color w:val="000000"/>
      <w:sz w:val="28"/>
      <w:szCs w:val="28"/>
      <w:u w:val="none"/>
    </w:rPr>
  </w:style>
  <w:style w:type="character" w:customStyle="1" w:styleId="10">
    <w:name w:val="font21"/>
    <w:basedOn w:val="7"/>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韩</cp:lastModifiedBy>
  <cp:lastPrinted>2023-05-17T11:39:00Z</cp:lastPrinted>
  <dcterms:modified xsi:type="dcterms:W3CDTF">2023-05-18T14:09:49Z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