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淄博国际仲裁服务中心组成人员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张公博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淄博仲裁办党组书记、主任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常务副主任：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闫世学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淄博仲裁办党组成员、副主任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副主任：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孙  海   淄博市归国华侨联合会党组成员、四级调研员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张晋萍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中国国际贸易促进委员会淄博市委员会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党组成员、副会长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吴振青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中共淄博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市委统战部二级调研员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王永政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淄博市工业和信息化局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三级调研员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刘志强   淄博市司法局副局长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淄博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市商务局党组成员、副局长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赵红霞   淄博市人民政府外事办公室二级调研员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章永序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淄博市市场监督管理局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党组成员、副局长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潘至明   淄博市金融发展促进中心党支部书记、主任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王晓丹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淄博市投资促进局</w:t>
      </w:r>
      <w:r>
        <w:rPr>
          <w:rFonts w:hint="eastAsia" w:ascii="仿宋_GB2312" w:hAnsi="仿宋_GB2312" w:eastAsia="仿宋_GB2312" w:cs="仿宋_GB2312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王学文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淄博海关副关长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张秀永   淄博综合保税区发展服务中心党组成员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张志新   山东理工大学经济学院院长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褚文颖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山东德衡（淄博）律师事务所主任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贾茂远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山东众成清泰（淄博）律师事务所党支部书记、高级合伙人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val="en-US" w:eastAsia="zh-CN"/>
        </w:rPr>
        <w:t>联络</w:t>
      </w:r>
      <w:r>
        <w:rPr>
          <w:rFonts w:ascii="仿宋_GB2312" w:hAnsi="仿宋_GB2312" w:eastAsia="仿宋_GB2312" w:cs="仿宋_GB2312"/>
          <w:b/>
          <w:color w:val="auto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王宇晗   淄博市归国华侨联合会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四级主任科员</w:t>
      </w:r>
    </w:p>
    <w:p>
      <w:pPr>
        <w:keepNext w:val="0"/>
        <w:keepLines w:val="0"/>
        <w:pageBreakBefore w:val="0"/>
        <w:widowControl w:val="0"/>
        <w:tabs>
          <w:tab w:val="left" w:pos="6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王建斌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中国国际贸易促进委员会淄博市委员会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法律部部长</w:t>
      </w:r>
    </w:p>
    <w:p>
      <w:pPr>
        <w:keepNext w:val="0"/>
        <w:keepLines w:val="0"/>
        <w:pageBreakBefore w:val="0"/>
        <w:widowControl w:val="0"/>
        <w:tabs>
          <w:tab w:val="left" w:pos="5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田树良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市委统战部侨务综合事务科科长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曹晓鹏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淄博市工业和信息化局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马清河   淄博市司法局公共法律服务管理二科科长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李嘉行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淄博市商务局</w:t>
      </w:r>
      <w:r>
        <w:rPr>
          <w:rFonts w:hint="eastAsia" w:ascii="仿宋" w:hAnsi="仿宋" w:eastAsia="仿宋" w:cs="仿宋"/>
          <w:sz w:val="32"/>
          <w:szCs w:val="32"/>
        </w:rPr>
        <w:t>外贸科主持工作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刘  岩   淄博市人民政府外事办公室涉外管理科科长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郭鹏飞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淄博市市场监督管理局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登记注册科科员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张  鹏   淄博市金融发展促进中心金融政策研究科科长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郭小婕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淄博市投资促进局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投资项目科科长、四级调研员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吕心雷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淄博海关运行监控科科长</w:t>
      </w:r>
      <w:r>
        <w:rPr>
          <w:rFonts w:hint="eastAsia" w:ascii="仿宋_GB2312" w:hAnsi="仿宋_GB2312" w:eastAsia="仿宋_GB2312" w:cs="仿宋_GB2312"/>
          <w:color w:val="5B9BD5" w:themeColor="accent1"/>
          <w:sz w:val="32"/>
          <w:szCs w:val="32"/>
          <w:lang w:val="en-US" w:eastAsia="zh-CN"/>
          <w14:textFill>
            <w14:solidFill>
              <w14:schemeClr w14:val="accent1"/>
            </w14:solidFill>
          </w14:textFill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杨晓东   淄博综合保税区发展服务中心企业服务部主任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徐德臣   山东理工大学法学院副主任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淄博仲裁办立案科副科长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ascii="仿宋_GB2312" w:hAnsi="仿宋_GB2312" w:eastAsia="仿宋_GB2312" w:cs="仿宋_GB2312"/>
          <w:color w:val="auto"/>
          <w:sz w:val="32"/>
          <w:szCs w:val="32"/>
        </w:rPr>
        <w:t>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hAnsi="仿宋_GB2312" w:eastAsia="仿宋_GB2312" w:cs="仿宋_GB2312"/>
          <w:color w:val="auto"/>
          <w:sz w:val="32"/>
          <w:szCs w:val="32"/>
        </w:rPr>
        <w:t>淄博仲裁办案件管理科副科长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主持工作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3938A4"/>
    <w:rsid w:val="497D3029"/>
    <w:rsid w:val="75C1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2023-06-15T07:37:00Z</dcterms:created>
  <dc:creator>Administrator</dc:creator>
  <cp:lastModifiedBy>Lenovo</cp:lastModifiedBy>
  <cp:lastPrinted>2023-06-15T07:37:00Z</cp:lastPrinted>
  <dcterms:modified xsi:type="dcterms:W3CDTF">2023-06-25T02:03:15Z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