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2"/>
        <w:rPr>
          <w:rFonts w:hint="eastAsia" w:ascii="方正小标宋简体" w:hAnsi="仿宋" w:eastAsia="方正小标宋简体" w:cs="宋体"/>
          <w:bCs/>
          <w:color w:val="000000"/>
          <w:kern w:val="0"/>
          <w:sz w:val="44"/>
          <w:szCs w:val="44"/>
        </w:rPr>
      </w:pPr>
    </w:p>
    <w:p>
      <w:pPr>
        <w:widowControl/>
        <w:spacing w:line="450" w:lineRule="atLeast"/>
        <w:jc w:val="center"/>
        <w:outlineLvl w:val="2"/>
        <w:rPr>
          <w:rFonts w:hint="eastAsia" w:ascii="方正小标宋简体" w:hAnsi="仿宋" w:eastAsia="方正小标宋简体" w:cs="宋体"/>
          <w:bCs/>
          <w:color w:val="000000"/>
          <w:kern w:val="0"/>
          <w:sz w:val="44"/>
          <w:szCs w:val="44"/>
        </w:rPr>
      </w:pPr>
    </w:p>
    <w:p>
      <w:pPr>
        <w:widowControl/>
        <w:spacing w:line="450" w:lineRule="atLeast"/>
        <w:jc w:val="center"/>
        <w:outlineLvl w:val="2"/>
        <w:rPr>
          <w:rFonts w:hint="eastAsia" w:ascii="方正小标宋简体" w:hAnsi="仿宋" w:eastAsia="方正小标宋简体" w:cs="宋体"/>
          <w:bCs/>
          <w:color w:val="000000"/>
          <w:kern w:val="0"/>
          <w:sz w:val="44"/>
          <w:szCs w:val="44"/>
        </w:rPr>
      </w:pPr>
    </w:p>
    <w:p>
      <w:pPr>
        <w:widowControl/>
        <w:spacing w:line="450" w:lineRule="atLeast"/>
        <w:jc w:val="center"/>
        <w:outlineLvl w:val="2"/>
        <w:rPr>
          <w:rFonts w:hint="eastAsia" w:ascii="方正小标宋简体" w:hAnsi="仿宋" w:eastAsia="方正小标宋简体" w:cs="宋体"/>
          <w:bCs/>
          <w:color w:val="000000"/>
          <w:kern w:val="0"/>
          <w:sz w:val="44"/>
          <w:szCs w:val="44"/>
        </w:rPr>
      </w:pPr>
    </w:p>
    <w:p>
      <w:pPr>
        <w:widowControl/>
        <w:spacing w:line="450" w:lineRule="atLeast"/>
        <w:jc w:val="center"/>
        <w:outlineLvl w:val="2"/>
        <w:rPr>
          <w:rFonts w:hint="eastAsia" w:ascii="方正小标宋简体" w:hAnsi="仿宋" w:eastAsia="方正小标宋简体" w:cs="宋体"/>
          <w:bCs/>
          <w:color w:val="000000"/>
          <w:kern w:val="0"/>
          <w:sz w:val="44"/>
          <w:szCs w:val="44"/>
        </w:rPr>
      </w:pPr>
    </w:p>
    <w:p>
      <w:pPr>
        <w:widowControl/>
        <w:spacing w:line="450" w:lineRule="atLeast"/>
        <w:jc w:val="center"/>
        <w:outlineLvl w:val="2"/>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关于印发</w:t>
      </w:r>
      <w:r>
        <w:rPr>
          <w:rFonts w:hint="eastAsia" w:ascii="方正小标宋简体" w:hAnsi="仿宋" w:eastAsia="方正小标宋简体" w:cs="宋体"/>
          <w:bCs/>
          <w:color w:val="000000"/>
          <w:kern w:val="0"/>
          <w:sz w:val="44"/>
          <w:szCs w:val="44"/>
          <w:lang w:eastAsia="zh-CN"/>
        </w:rPr>
        <w:t>淄博市</w:t>
      </w:r>
      <w:r>
        <w:rPr>
          <w:rFonts w:hint="eastAsia" w:ascii="方正小标宋简体" w:hAnsi="仿宋" w:eastAsia="方正小标宋简体" w:cs="宋体"/>
          <w:bCs/>
          <w:color w:val="000000"/>
          <w:kern w:val="0"/>
          <w:sz w:val="44"/>
          <w:szCs w:val="44"/>
        </w:rPr>
        <w:t>残疾人基本康复</w:t>
      </w:r>
    </w:p>
    <w:p>
      <w:pPr>
        <w:widowControl/>
        <w:spacing w:line="450" w:lineRule="atLeast"/>
        <w:jc w:val="center"/>
        <w:outlineLvl w:val="2"/>
        <w:rPr>
          <w:rFonts w:hint="eastAsia" w:ascii="方正小标宋简体" w:hAnsi="仿宋" w:eastAsia="方正小标宋简体" w:cs="宋体"/>
          <w:bCs/>
          <w:color w:val="000000"/>
          <w:kern w:val="0"/>
          <w:sz w:val="44"/>
          <w:szCs w:val="44"/>
          <w:lang w:eastAsia="zh-CN"/>
        </w:rPr>
      </w:pPr>
      <w:r>
        <w:rPr>
          <w:rFonts w:hint="eastAsia" w:ascii="方正小标宋简体" w:hAnsi="仿宋" w:eastAsia="方正小标宋简体" w:cs="宋体"/>
          <w:bCs/>
          <w:color w:val="000000"/>
          <w:kern w:val="0"/>
          <w:sz w:val="44"/>
          <w:szCs w:val="44"/>
        </w:rPr>
        <w:t>服务目录（2019年）的通知</w:t>
      </w:r>
    </w:p>
    <w:p>
      <w:pPr>
        <w:spacing w:line="360" w:lineRule="auto"/>
        <w:jc w:val="center"/>
        <w:rPr>
          <w:rFonts w:ascii="仿宋" w:hAnsi="仿宋" w:eastAsia="仿宋" w:cs="Times New Roman"/>
          <w:color w:val="000000"/>
          <w:sz w:val="32"/>
          <w:szCs w:val="32"/>
        </w:rPr>
      </w:pPr>
      <w:r>
        <w:rPr>
          <w:rFonts w:hint="eastAsia" w:ascii="楷体" w:hAnsi="楷体" w:eastAsia="楷体" w:cs="宋体"/>
          <w:bCs/>
          <w:color w:val="000000"/>
          <w:kern w:val="0"/>
          <w:sz w:val="32"/>
          <w:szCs w:val="32"/>
        </w:rPr>
        <w:t xml:space="preserve"> </w:t>
      </w:r>
    </w:p>
    <w:p>
      <w:pPr>
        <w:keepNext w:val="0"/>
        <w:keepLines w:val="0"/>
        <w:widowControl/>
        <w:suppressLineNumbers w:val="0"/>
        <w:wordWrap w:val="0"/>
        <w:jc w:val="left"/>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w:t>
      </w:r>
      <w:r>
        <w:rPr>
          <w:rFonts w:hint="eastAsia" w:ascii="仿宋_GB2312" w:hAnsi="仿宋" w:eastAsia="仿宋_GB2312" w:cs="Times New Roman"/>
          <w:color w:val="000000"/>
          <w:sz w:val="32"/>
          <w:szCs w:val="32"/>
          <w:lang w:eastAsia="zh-CN"/>
        </w:rPr>
        <w:t>区县</w:t>
      </w:r>
      <w:r>
        <w:rPr>
          <w:rFonts w:hint="eastAsia" w:ascii="仿宋_GB2312" w:hAnsi="仿宋" w:eastAsia="仿宋_GB2312" w:cs="Times New Roman"/>
          <w:color w:val="000000"/>
          <w:sz w:val="32"/>
          <w:szCs w:val="32"/>
        </w:rPr>
        <w:t>残联、教育局</w:t>
      </w:r>
      <w:r>
        <w:rPr>
          <w:rFonts w:hint="eastAsia" w:ascii="仿宋_GB2312" w:hAnsi="仿宋" w:eastAsia="仿宋_GB2312" w:cs="Times New Roman"/>
          <w:color w:val="000000"/>
          <w:sz w:val="32"/>
          <w:szCs w:val="32"/>
          <w:lang w:eastAsia="zh-CN"/>
        </w:rPr>
        <w:t>（教体局）</w:t>
      </w:r>
      <w:r>
        <w:rPr>
          <w:rFonts w:hint="eastAsia" w:ascii="仿宋_GB2312" w:hAnsi="仿宋" w:eastAsia="仿宋_GB2312" w:cs="Times New Roman"/>
          <w:color w:val="000000"/>
          <w:sz w:val="32"/>
          <w:szCs w:val="32"/>
        </w:rPr>
        <w:t>、民政局、</w:t>
      </w:r>
      <w:r>
        <w:rPr>
          <w:rFonts w:hint="default" w:ascii="仿宋_GB2312" w:hAnsi="仿宋" w:eastAsia="仿宋_GB2312" w:cs="Times New Roman"/>
          <w:color w:val="000000"/>
          <w:sz w:val="32"/>
          <w:szCs w:val="32"/>
          <w:lang w:val="en-US" w:eastAsia="zh-CN"/>
        </w:rPr>
        <w:t>卫生健康</w:t>
      </w:r>
      <w:r>
        <w:rPr>
          <w:rFonts w:hint="eastAsia" w:ascii="仿宋_GB2312" w:hAnsi="仿宋" w:eastAsia="仿宋_GB2312" w:cs="Times New Roman"/>
          <w:color w:val="000000"/>
          <w:sz w:val="32"/>
          <w:szCs w:val="32"/>
          <w:lang w:val="en-US" w:eastAsia="zh-CN"/>
        </w:rPr>
        <w:t>局</w:t>
      </w:r>
      <w:r>
        <w:rPr>
          <w:rFonts w:hint="default" w:ascii="仿宋_GB2312" w:hAnsi="仿宋" w:eastAsia="仿宋_GB2312" w:cs="Times New Roman"/>
          <w:color w:val="000000"/>
          <w:sz w:val="32"/>
          <w:szCs w:val="32"/>
          <w:lang w:val="en-US" w:eastAsia="zh-CN"/>
        </w:rPr>
        <w:t>（卫生计生</w:t>
      </w:r>
      <w:r>
        <w:rPr>
          <w:rFonts w:hint="eastAsia" w:ascii="仿宋_GB2312" w:hAnsi="仿宋" w:eastAsia="仿宋_GB2312" w:cs="Times New Roman"/>
          <w:color w:val="000000"/>
          <w:sz w:val="32"/>
          <w:szCs w:val="32"/>
          <w:lang w:val="en-US" w:eastAsia="zh-CN"/>
        </w:rPr>
        <w:t>局</w:t>
      </w:r>
      <w:r>
        <w:rPr>
          <w:rFonts w:hint="default"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、扶贫办、</w:t>
      </w:r>
      <w:r>
        <w:rPr>
          <w:rFonts w:hint="eastAsia" w:ascii="仿宋_GB2312" w:hAnsi="仿宋" w:eastAsia="仿宋_GB2312" w:cs="Times New Roman"/>
          <w:color w:val="000000"/>
          <w:sz w:val="32"/>
          <w:szCs w:val="32"/>
          <w:lang w:eastAsia="zh-CN"/>
        </w:rPr>
        <w:t>医疗保障分</w:t>
      </w:r>
      <w:r>
        <w:rPr>
          <w:rFonts w:hint="eastAsia" w:ascii="仿宋_GB2312" w:hAnsi="仿宋" w:eastAsia="仿宋_GB2312" w:cs="Times New Roman"/>
          <w:color w:val="000000"/>
          <w:sz w:val="32"/>
          <w:szCs w:val="32"/>
        </w:rPr>
        <w:t>局</w:t>
      </w:r>
      <w:r>
        <w:rPr>
          <w:rFonts w:hint="eastAsia" w:ascii="仿宋_GB2312" w:hAnsi="仿宋" w:eastAsia="仿宋_GB2312" w:cs="Times New Roman"/>
          <w:color w:val="000000"/>
          <w:sz w:val="32"/>
          <w:szCs w:val="32"/>
          <w:lang w:eastAsia="zh-CN"/>
        </w:rPr>
        <w:t>，高新区地方事业局</w:t>
      </w:r>
      <w:bookmarkStart w:id="0" w:name="_GoBack"/>
      <w:bookmarkEnd w:id="0"/>
      <w:r>
        <w:rPr>
          <w:rFonts w:hint="eastAsia" w:ascii="仿宋_GB2312" w:hAnsi="仿宋" w:eastAsia="仿宋_GB2312" w:cs="Times New Roman"/>
          <w:color w:val="000000"/>
          <w:sz w:val="32"/>
          <w:szCs w:val="32"/>
          <w:lang w:eastAsia="zh-CN"/>
        </w:rPr>
        <w:t>，经开区、文昌湖区地方事业局</w:t>
      </w:r>
      <w:r>
        <w:rPr>
          <w:rFonts w:hint="eastAsia" w:ascii="仿宋_GB2312" w:hAnsi="仿宋" w:eastAsia="仿宋_GB2312" w:cs="Times New Roman"/>
          <w:color w:val="000000"/>
          <w:sz w:val="32"/>
          <w:szCs w:val="32"/>
        </w:rPr>
        <w:t>：</w:t>
      </w:r>
    </w:p>
    <w:p>
      <w:pPr>
        <w:spacing w:line="360" w:lineRule="auto"/>
        <w:ind w:firstLine="640" w:firstLineChars="200"/>
        <w:rPr>
          <w:rFonts w:ascii="仿宋_GB2312" w:hAnsi="仿宋" w:eastAsia="仿宋_GB2312" w:cs="宋体"/>
          <w:color w:val="000000"/>
          <w:kern w:val="0"/>
          <w:sz w:val="32"/>
          <w:szCs w:val="32"/>
          <w:lang w:val="zh-CN"/>
        </w:rPr>
      </w:pPr>
      <w:r>
        <w:rPr>
          <w:rFonts w:hint="eastAsia" w:ascii="仿宋_GB2312" w:hAnsi="仿宋" w:eastAsia="仿宋_GB2312" w:cs="Times New Roman"/>
          <w:sz w:val="32"/>
          <w:szCs w:val="32"/>
        </w:rPr>
        <w:t>为贯彻落实《</w:t>
      </w:r>
      <w:r>
        <w:rPr>
          <w:rFonts w:hint="eastAsia" w:ascii="仿宋_GB2312" w:hAnsi="仿宋" w:eastAsia="仿宋_GB2312" w:cs="Times New Roman"/>
          <w:sz w:val="32"/>
          <w:szCs w:val="32"/>
          <w:lang w:eastAsia="zh-CN"/>
        </w:rPr>
        <w:t>淄博市</w:t>
      </w:r>
      <w:r>
        <w:rPr>
          <w:rFonts w:hint="eastAsia" w:ascii="仿宋_GB2312" w:hAnsi="仿宋" w:eastAsia="仿宋_GB2312" w:cs="Times New Roman"/>
          <w:sz w:val="32"/>
          <w:szCs w:val="32"/>
        </w:rPr>
        <w:t>人民政府关于</w:t>
      </w:r>
      <w:r>
        <w:rPr>
          <w:rFonts w:hint="eastAsia" w:ascii="仿宋_GB2312" w:hAnsi="仿宋" w:eastAsia="仿宋_GB2312" w:cs="Times New Roman"/>
          <w:sz w:val="32"/>
          <w:szCs w:val="32"/>
          <w:lang w:eastAsia="zh-CN"/>
        </w:rPr>
        <w:t>印发淄博市残疾儿童康复救助实施办法的通知</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淄</w:t>
      </w:r>
      <w:r>
        <w:rPr>
          <w:rFonts w:hint="eastAsia" w:ascii="仿宋_GB2312" w:hAnsi="仿宋" w:eastAsia="仿宋_GB2312" w:cs="Times New Roman"/>
          <w:sz w:val="32"/>
          <w:szCs w:val="32"/>
        </w:rPr>
        <w:t>政发〔2018〕2</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rPr>
        <w:t>号)和《关于印发〈</w:t>
      </w:r>
      <w:r>
        <w:rPr>
          <w:rFonts w:hint="eastAsia" w:ascii="仿宋_GB2312" w:hAnsi="仿宋" w:eastAsia="仿宋_GB2312" w:cs="Times New Roman"/>
          <w:sz w:val="32"/>
          <w:szCs w:val="32"/>
          <w:lang w:eastAsia="zh-CN"/>
        </w:rPr>
        <w:t>淄博市</w:t>
      </w:r>
      <w:r>
        <w:rPr>
          <w:rFonts w:hint="eastAsia" w:ascii="仿宋_GB2312" w:hAnsi="仿宋" w:eastAsia="仿宋_GB2312" w:cs="Times New Roman"/>
          <w:sz w:val="32"/>
          <w:szCs w:val="32"/>
        </w:rPr>
        <w:t>残疾人精准康复服务行动实施方案（201</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-2020）〉的通知》（</w:t>
      </w:r>
      <w:r>
        <w:rPr>
          <w:rFonts w:hint="eastAsia" w:ascii="仿宋_GB2312" w:hAnsi="仿宋" w:eastAsia="仿宋_GB2312" w:cs="Times New Roman"/>
          <w:sz w:val="32"/>
          <w:szCs w:val="32"/>
          <w:lang w:eastAsia="zh-CN"/>
        </w:rPr>
        <w:t>淄</w:t>
      </w:r>
      <w:r>
        <w:rPr>
          <w:rFonts w:hint="eastAsia" w:ascii="仿宋_GB2312" w:hAnsi="仿宋" w:eastAsia="仿宋_GB2312" w:cs="Times New Roman"/>
          <w:sz w:val="32"/>
          <w:szCs w:val="32"/>
        </w:rPr>
        <w:t>残联发〔201</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号），</w:t>
      </w:r>
      <w:r>
        <w:rPr>
          <w:rFonts w:hint="eastAsia" w:ascii="仿宋_GB2312" w:hAnsi="仿宋_GB2312" w:eastAsia="仿宋_GB2312" w:cs="仿宋_GB2312"/>
          <w:sz w:val="32"/>
          <w:szCs w:val="32"/>
        </w:rPr>
        <w:t>进一步做好</w:t>
      </w:r>
      <w:r>
        <w:rPr>
          <w:rFonts w:hint="eastAsia" w:ascii="仿宋_GB2312" w:hAnsi="仿宋" w:eastAsia="仿宋_GB2312" w:cs="Times New Roman"/>
          <w:sz w:val="32"/>
          <w:szCs w:val="32"/>
        </w:rPr>
        <w:t>全</w:t>
      </w:r>
      <w:r>
        <w:rPr>
          <w:rFonts w:hint="eastAsia" w:ascii="仿宋_GB2312" w:hAnsi="仿宋" w:eastAsia="仿宋_GB2312" w:cs="Times New Roman"/>
          <w:sz w:val="32"/>
          <w:szCs w:val="32"/>
          <w:lang w:eastAsia="zh-CN"/>
        </w:rPr>
        <w:t>市</w:t>
      </w:r>
      <w:r>
        <w:rPr>
          <w:rFonts w:hint="eastAsia" w:ascii="仿宋_GB2312" w:hAnsi="仿宋" w:eastAsia="仿宋_GB2312" w:cs="Times New Roman"/>
          <w:sz w:val="32"/>
          <w:szCs w:val="32"/>
        </w:rPr>
        <w:t>残疾人康复工作，现将</w:t>
      </w:r>
      <w:r>
        <w:rPr>
          <w:rFonts w:hint="eastAsia" w:ascii="仿宋_GB2312" w:hAnsi="仿宋" w:eastAsia="仿宋_GB2312" w:cs="宋体"/>
          <w:color w:val="000000"/>
          <w:kern w:val="0"/>
          <w:sz w:val="32"/>
          <w:szCs w:val="32"/>
          <w:lang w:val="zh-CN"/>
        </w:rPr>
        <w:t>《淄博市残疾人基本康复服务目录（2019年）》印发给你们，请结合本区县本部门工作任务和职责分工，认真组织实施好残疾人精准康复服务行动。</w:t>
      </w:r>
    </w:p>
    <w:p>
      <w:pPr>
        <w:spacing w:line="360" w:lineRule="auto"/>
        <w:ind w:firstLine="640" w:firstLineChars="200"/>
        <w:rPr>
          <w:rFonts w:ascii="仿宋_GB2312" w:hAnsi="仿宋" w:eastAsia="仿宋_GB2312" w:cs="宋体"/>
          <w:color w:val="000000"/>
          <w:kern w:val="0"/>
          <w:sz w:val="32"/>
          <w:szCs w:val="32"/>
          <w:lang w:val="zh-CN"/>
        </w:rPr>
      </w:pPr>
    </w:p>
    <w:p>
      <w:pPr>
        <w:spacing w:line="360" w:lineRule="auto"/>
        <w:ind w:firstLine="640" w:firstLineChars="200"/>
        <w:rPr>
          <w:rFonts w:ascii="仿宋_GB2312" w:hAnsi="仿宋" w:eastAsia="仿宋_GB2312" w:cs="宋体"/>
          <w:color w:val="000000"/>
          <w:kern w:val="0"/>
          <w:sz w:val="32"/>
          <w:szCs w:val="32"/>
          <w:lang w:val="zh-CN"/>
        </w:rPr>
      </w:pPr>
    </w:p>
    <w:p>
      <w:pPr>
        <w:spacing w:line="360" w:lineRule="auto"/>
        <w:ind w:firstLine="640" w:firstLineChars="200"/>
        <w:jc w:val="left"/>
        <w:rPr>
          <w:rFonts w:hint="eastAsia" w:ascii="仿宋_GB2312" w:hAnsi="仿宋" w:eastAsia="仿宋_GB2312" w:cs="宋体"/>
          <w:color w:val="000000"/>
          <w:kern w:val="0"/>
          <w:sz w:val="32"/>
          <w:szCs w:val="32"/>
          <w:lang w:val="zh-CN"/>
        </w:rPr>
      </w:pPr>
      <w:r>
        <w:rPr>
          <w:rFonts w:hint="eastAsia" w:ascii="仿宋_GB2312" w:hAnsi="仿宋" w:eastAsia="仿宋_GB2312" w:cs="宋体"/>
          <w:color w:val="000000"/>
          <w:kern w:val="0"/>
          <w:sz w:val="32"/>
          <w:szCs w:val="32"/>
          <w:lang w:val="zh-CN"/>
        </w:rPr>
        <w:t xml:space="preserve">淄博市残疾人联合会    </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val="zh-CN"/>
        </w:rPr>
        <w:t xml:space="preserve"> </w:t>
      </w:r>
      <w:r>
        <w:rPr>
          <w:rFonts w:hint="eastAsia" w:ascii="仿宋_GB2312" w:hAnsi="仿宋" w:eastAsia="仿宋_GB2312" w:cs="宋体"/>
          <w:color w:val="000000"/>
          <w:kern w:val="0"/>
          <w:sz w:val="32"/>
          <w:szCs w:val="32"/>
          <w:lang w:val="en-US" w:eastAsia="zh-CN"/>
        </w:rPr>
        <w:t xml:space="preserve">    淄博市</w:t>
      </w:r>
      <w:r>
        <w:rPr>
          <w:rFonts w:hint="eastAsia" w:ascii="仿宋_GB2312" w:hAnsi="仿宋" w:eastAsia="仿宋_GB2312" w:cs="宋体"/>
          <w:color w:val="000000"/>
          <w:kern w:val="0"/>
          <w:sz w:val="32"/>
          <w:szCs w:val="32"/>
          <w:lang w:val="zh-CN"/>
        </w:rPr>
        <w:t xml:space="preserve">教育局  </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val="zh-CN"/>
        </w:rPr>
        <w:t xml:space="preserve"> </w:t>
      </w:r>
    </w:p>
    <w:p>
      <w:pPr>
        <w:spacing w:line="360" w:lineRule="auto"/>
        <w:ind w:left="638" w:leftChars="304" w:firstLine="0" w:firstLineChars="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zh-CN"/>
        </w:rPr>
        <w:t xml:space="preserve">淄博市民政局              淄博市卫生健康委员会   </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eastAsia="zh-CN"/>
        </w:rPr>
        <w:t>淄博市</w:t>
      </w:r>
      <w:r>
        <w:rPr>
          <w:rFonts w:hint="eastAsia" w:ascii="仿宋_GB2312" w:hAnsi="仿宋" w:eastAsia="仿宋_GB2312" w:cs="宋体"/>
          <w:color w:val="000000"/>
          <w:kern w:val="0"/>
          <w:sz w:val="32"/>
          <w:szCs w:val="32"/>
          <w:lang w:val="zh-CN"/>
        </w:rPr>
        <w:t xml:space="preserve">扶贫开发办公室  </w:t>
      </w:r>
      <w:r>
        <w:rPr>
          <w:rFonts w:hint="eastAsia" w:ascii="仿宋_GB2312" w:hAnsi="仿宋" w:eastAsia="仿宋_GB2312" w:cs="宋体"/>
          <w:color w:val="000000"/>
          <w:kern w:val="0"/>
          <w:sz w:val="32"/>
          <w:szCs w:val="32"/>
          <w:lang w:val="en-US" w:eastAsia="zh-CN"/>
        </w:rPr>
        <w:t xml:space="preserve">   </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val="zh-CN"/>
        </w:rPr>
        <w:t xml:space="preserve"> </w:t>
      </w:r>
      <w:r>
        <w:rPr>
          <w:rFonts w:hint="eastAsia" w:ascii="仿宋_GB2312" w:hAnsi="仿宋" w:eastAsia="仿宋_GB2312" w:cs="宋体"/>
          <w:color w:val="000000"/>
          <w:kern w:val="0"/>
          <w:sz w:val="32"/>
          <w:szCs w:val="32"/>
          <w:lang w:val="en-US" w:eastAsia="zh-CN"/>
        </w:rPr>
        <w:t>淄博市医疗保障</w:t>
      </w:r>
      <w:r>
        <w:rPr>
          <w:rFonts w:hint="eastAsia" w:ascii="仿宋_GB2312" w:hAnsi="仿宋" w:eastAsia="仿宋_GB2312" w:cs="宋体"/>
          <w:color w:val="000000"/>
          <w:kern w:val="0"/>
          <w:sz w:val="32"/>
          <w:szCs w:val="32"/>
        </w:rPr>
        <w:t>局</w:t>
      </w:r>
      <w:r>
        <w:rPr>
          <w:rFonts w:hint="eastAsia" w:ascii="仿宋_GB2312" w:hAnsi="仿宋" w:eastAsia="仿宋_GB2312" w:cs="宋体"/>
          <w:color w:val="000000"/>
          <w:kern w:val="0"/>
          <w:sz w:val="32"/>
          <w:szCs w:val="32"/>
          <w:lang w:val="zh-CN"/>
        </w:rPr>
        <w:t xml:space="preserve">  </w:t>
      </w:r>
    </w:p>
    <w:p>
      <w:pPr>
        <w:spacing w:line="360" w:lineRule="auto"/>
        <w:ind w:firstLine="5120" w:firstLineChars="1600"/>
        <w:jc w:val="left"/>
        <w:rPr>
          <w:rFonts w:ascii="仿宋_GB2312" w:hAnsi="仿宋" w:eastAsia="仿宋_GB2312" w:cs="宋体"/>
          <w:color w:val="000000"/>
          <w:kern w:val="0"/>
          <w:sz w:val="32"/>
          <w:szCs w:val="32"/>
          <w:lang w:val="zh-CN"/>
        </w:rPr>
      </w:pPr>
      <w:r>
        <w:rPr>
          <w:rFonts w:hint="eastAsia" w:ascii="仿宋_GB2312" w:hAnsi="仿宋" w:eastAsia="仿宋_GB2312" w:cs="宋体"/>
          <w:color w:val="000000"/>
          <w:kern w:val="0"/>
          <w:sz w:val="32"/>
          <w:szCs w:val="32"/>
          <w:lang w:val="zh-CN"/>
        </w:rPr>
        <w:t>201</w:t>
      </w:r>
      <w:r>
        <w:rPr>
          <w:rFonts w:hint="eastAsia" w:ascii="仿宋_GB2312" w:hAnsi="仿宋" w:eastAsia="仿宋_GB2312" w:cs="宋体"/>
          <w:color w:val="000000"/>
          <w:kern w:val="0"/>
          <w:sz w:val="32"/>
          <w:szCs w:val="32"/>
          <w:lang w:val="en-US" w:eastAsia="zh-CN"/>
        </w:rPr>
        <w:t>9</w:t>
      </w:r>
      <w:r>
        <w:rPr>
          <w:rFonts w:hint="eastAsia" w:ascii="仿宋_GB2312" w:hAnsi="仿宋" w:eastAsia="仿宋_GB2312" w:cs="宋体"/>
          <w:color w:val="000000"/>
          <w:kern w:val="0"/>
          <w:sz w:val="32"/>
          <w:szCs w:val="32"/>
          <w:lang w:val="zh-CN"/>
        </w:rPr>
        <w:t>年</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lang w:val="zh-CN"/>
        </w:rPr>
        <w:t>月</w:t>
      </w:r>
      <w:r>
        <w:rPr>
          <w:rFonts w:hint="eastAsia" w:ascii="仿宋_GB2312" w:hAnsi="仿宋" w:eastAsia="仿宋_GB2312" w:cs="宋体"/>
          <w:color w:val="000000"/>
          <w:kern w:val="0"/>
          <w:sz w:val="32"/>
          <w:szCs w:val="32"/>
          <w:lang w:val="en-US" w:eastAsia="zh-CN"/>
        </w:rPr>
        <w:t>29</w:t>
      </w:r>
      <w:r>
        <w:rPr>
          <w:rFonts w:hint="eastAsia" w:ascii="仿宋_GB2312" w:hAnsi="仿宋" w:eastAsia="仿宋_GB2312" w:cs="宋体"/>
          <w:color w:val="000000"/>
          <w:kern w:val="0"/>
          <w:sz w:val="32"/>
          <w:szCs w:val="32"/>
          <w:lang w:val="zh-CN"/>
        </w:rPr>
        <w:t>日</w:t>
      </w:r>
    </w:p>
    <w:p>
      <w:pPr>
        <w:jc w:val="center"/>
        <w:rPr>
          <w:rFonts w:ascii="方正小标宋简体" w:hAnsi="宋体" w:eastAsia="方正小标宋简体" w:cs="宋体"/>
          <w:bCs/>
          <w:kern w:val="0"/>
          <w:sz w:val="40"/>
          <w:szCs w:val="40"/>
        </w:rPr>
        <w:sectPr>
          <w:footerReference r:id="rId3" w:type="default"/>
          <w:pgSz w:w="11906" w:h="16838"/>
          <w:pgMar w:top="2154" w:right="1587" w:bottom="1984" w:left="1587" w:header="851" w:footer="992" w:gutter="0"/>
          <w:pgNumType w:fmt="numberInDash"/>
          <w:cols w:space="425" w:num="1"/>
          <w:docGrid w:type="lines" w:linePitch="312" w:charSpace="0"/>
        </w:sectPr>
      </w:pPr>
    </w:p>
    <w:p>
      <w:pPr>
        <w:jc w:val="center"/>
        <w:rPr>
          <w:rFonts w:ascii="方正小标宋简体" w:hAnsi="宋体" w:eastAsia="方正小标宋简体" w:cs="宋体"/>
          <w:bCs/>
          <w:kern w:val="0"/>
          <w:sz w:val="40"/>
          <w:szCs w:val="40"/>
        </w:rPr>
      </w:pPr>
      <w:r>
        <w:rPr>
          <w:rFonts w:hint="eastAsia" w:ascii="方正小标宋简体" w:hAnsi="宋体" w:eastAsia="方正小标宋简体" w:cs="宋体"/>
          <w:bCs/>
          <w:kern w:val="0"/>
          <w:sz w:val="40"/>
          <w:szCs w:val="40"/>
          <w:lang w:eastAsia="zh-CN"/>
        </w:rPr>
        <w:t>淄博市</w:t>
      </w:r>
      <w:r>
        <w:rPr>
          <w:rFonts w:hint="eastAsia" w:ascii="方正小标宋简体" w:hAnsi="宋体" w:eastAsia="方正小标宋简体" w:cs="宋体"/>
          <w:bCs/>
          <w:kern w:val="0"/>
          <w:sz w:val="40"/>
          <w:szCs w:val="40"/>
        </w:rPr>
        <w:t>残疾人基本康复服务目录（2019年）</w:t>
      </w:r>
    </w:p>
    <w:tbl>
      <w:tblPr>
        <w:tblStyle w:val="4"/>
        <w:tblW w:w="14034" w:type="dxa"/>
        <w:tblInd w:w="108" w:type="dxa"/>
        <w:tblLayout w:type="fixed"/>
        <w:tblCellMar>
          <w:top w:w="0" w:type="dxa"/>
          <w:left w:w="108" w:type="dxa"/>
          <w:bottom w:w="0" w:type="dxa"/>
          <w:right w:w="108" w:type="dxa"/>
        </w:tblCellMar>
      </w:tblPr>
      <w:tblGrid>
        <w:gridCol w:w="851"/>
        <w:gridCol w:w="850"/>
        <w:gridCol w:w="1701"/>
        <w:gridCol w:w="7655"/>
        <w:gridCol w:w="1280"/>
        <w:gridCol w:w="1697"/>
      </w:tblGrid>
      <w:tr>
        <w:tblPrEx>
          <w:tblLayout w:type="fixed"/>
          <w:tblCellMar>
            <w:top w:w="0" w:type="dxa"/>
            <w:left w:w="108" w:type="dxa"/>
            <w:bottom w:w="0" w:type="dxa"/>
            <w:right w:w="108" w:type="dxa"/>
          </w:tblCellMar>
        </w:tblPrEx>
        <w:trPr>
          <w:trHeight w:val="69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残疾类别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服务对象</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服务项目</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服务内容及标准</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支付方式</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康复专项经费最低补贴标准</w:t>
            </w:r>
          </w:p>
        </w:tc>
      </w:tr>
      <w:tr>
        <w:tblPrEx>
          <w:tblLayout w:type="fixed"/>
          <w:tblCellMar>
            <w:top w:w="0" w:type="dxa"/>
            <w:left w:w="108" w:type="dxa"/>
            <w:bottom w:w="0" w:type="dxa"/>
            <w:right w:w="108" w:type="dxa"/>
          </w:tblCellMar>
        </w:tblPrEx>
        <w:trPr>
          <w:trHeight w:val="1092" w:hRule="atLeast"/>
        </w:trPr>
        <w:tc>
          <w:tcPr>
            <w:tcW w:w="851"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视力残疾</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盲人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白内障复明</w:t>
            </w: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手术  </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 w:val="24"/>
                <w:szCs w:val="24"/>
              </w:rPr>
            </w:pPr>
            <w:r>
              <w:rPr>
                <w:rFonts w:hint="eastAsia" w:ascii="仿宋_GB2312" w:hAnsi="仿宋" w:eastAsia="仿宋_GB2312" w:cs="宋体"/>
                <w:kern w:val="0"/>
                <w:sz w:val="24"/>
                <w:szCs w:val="24"/>
              </w:rPr>
              <w:t>白内障摘除术和人工晶体植入术，做好术后护理。标准参见《临床诊疗指南-眼科学分册》（中华医学会编著，人民卫生出版社）。</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基本医保/其他救助资金/自费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残疾人自负部分由各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根据残疾人康复资金状况确定补助标准。</w:t>
            </w:r>
          </w:p>
        </w:tc>
      </w:tr>
      <w:tr>
        <w:tblPrEx>
          <w:tblLayout w:type="fixed"/>
          <w:tblCellMar>
            <w:top w:w="0" w:type="dxa"/>
            <w:left w:w="108" w:type="dxa"/>
            <w:bottom w:w="0" w:type="dxa"/>
            <w:right w:w="108" w:type="dxa"/>
          </w:tblCellMar>
        </w:tblPrEx>
        <w:trPr>
          <w:trHeight w:val="660" w:hRule="atLeast"/>
        </w:trPr>
        <w:tc>
          <w:tcPr>
            <w:tcW w:w="851"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辅助器具适配及服务</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 w:val="24"/>
                <w:szCs w:val="24"/>
              </w:rPr>
            </w:pPr>
            <w:r>
              <w:rPr>
                <w:rFonts w:hint="eastAsia" w:ascii="仿宋_GB2312" w:hAnsi="仿宋" w:eastAsia="仿宋_GB2312" w:cs="宋体"/>
                <w:kern w:val="0"/>
                <w:sz w:val="24"/>
                <w:szCs w:val="24"/>
              </w:rPr>
              <w:t>盲杖或其他辅助器具。参考不同辅具使用年限进行评估，必要时予以调换。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提供所需基本型辅助器具。</w:t>
            </w:r>
          </w:p>
        </w:tc>
      </w:tr>
      <w:tr>
        <w:tblPrEx>
          <w:tblLayout w:type="fixed"/>
          <w:tblCellMar>
            <w:top w:w="0" w:type="dxa"/>
            <w:left w:w="108" w:type="dxa"/>
            <w:bottom w:w="0" w:type="dxa"/>
            <w:right w:w="108" w:type="dxa"/>
          </w:tblCellMar>
        </w:tblPrEx>
        <w:trPr>
          <w:trHeight w:val="930" w:hRule="atLeast"/>
        </w:trPr>
        <w:tc>
          <w:tcPr>
            <w:tcW w:w="851"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定向行走及</w:t>
            </w: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适应训练</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 w:val="24"/>
                <w:szCs w:val="24"/>
              </w:rPr>
            </w:pPr>
            <w:r>
              <w:rPr>
                <w:rFonts w:hint="eastAsia" w:ascii="仿宋_GB2312" w:hAnsi="仿宋" w:eastAsia="仿宋_GB2312" w:cs="宋体"/>
                <w:kern w:val="0"/>
                <w:sz w:val="24"/>
                <w:szCs w:val="24"/>
              </w:rPr>
              <w:t>功能评估；定向技能及行走训练，每周1次，每次2小时，训练时间不少于2个月；社会适应能力训练，每周1次，每次2小时，训练时间不少于2个月。</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645" w:hRule="atLeast"/>
        </w:trPr>
        <w:tc>
          <w:tcPr>
            <w:tcW w:w="851"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中途盲者心理疏导，盲后半年内，每月不少于1次。</w:t>
            </w:r>
          </w:p>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结合家庭医生签约服务，为签约残疾人提供视力残疾康复相关的指导。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1066" w:hRule="atLeast"/>
        </w:trPr>
        <w:tc>
          <w:tcPr>
            <w:tcW w:w="851"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低视力者</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辅助器具适配及服务※</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基本型远距离助视器、近距离助视器；助视器适应性训练。                     参考不同辅具使用年限进行评估，必要时予以调换。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提供所需基本型辅助器具。</w:t>
            </w:r>
          </w:p>
        </w:tc>
      </w:tr>
      <w:tr>
        <w:tblPrEx>
          <w:tblLayout w:type="fixed"/>
          <w:tblCellMar>
            <w:top w:w="0" w:type="dxa"/>
            <w:left w:w="108" w:type="dxa"/>
            <w:bottom w:w="0" w:type="dxa"/>
            <w:right w:w="108" w:type="dxa"/>
          </w:tblCellMar>
        </w:tblPrEx>
        <w:trPr>
          <w:trHeight w:val="1044" w:hRule="atLeast"/>
        </w:trPr>
        <w:tc>
          <w:tcPr>
            <w:tcW w:w="851"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left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视功能训练</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 w:val="24"/>
                <w:szCs w:val="24"/>
              </w:rPr>
            </w:pPr>
            <w:r>
              <w:rPr>
                <w:rFonts w:hint="eastAsia" w:ascii="仿宋_GB2312" w:hAnsi="仿宋" w:eastAsia="仿宋_GB2312" w:cs="宋体"/>
                <w:kern w:val="0"/>
                <w:sz w:val="24"/>
                <w:szCs w:val="24"/>
              </w:rPr>
              <w:t>功能评估；视觉基本技能训练（含固定注视、定位注视、视觉跟踪与追踪、视觉搜寻训练），训练时间不少于1个月。</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865"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结合家庭医生签约服务，为签约残疾人提供视力残疾康复相关的指导。</w:t>
            </w:r>
          </w:p>
        </w:tc>
        <w:tc>
          <w:tcPr>
            <w:tcW w:w="12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1099"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听力言语残疾</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仿宋" w:eastAsia="仿宋_GB2312" w:cs="宋体"/>
                <w:kern w:val="0"/>
                <w:sz w:val="24"/>
                <w:szCs w:val="24"/>
              </w:rPr>
            </w:pP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br w:type="textWrapping"/>
            </w:r>
            <w:r>
              <w:rPr>
                <w:rFonts w:hint="eastAsia" w:ascii="仿宋_GB2312" w:hAnsi="仿宋" w:eastAsia="仿宋_GB2312" w:cs="宋体"/>
                <w:kern w:val="0"/>
                <w:sz w:val="24"/>
                <w:szCs w:val="24"/>
              </w:rPr>
              <w:br w:type="textWrapping"/>
            </w:r>
            <w:r>
              <w:rPr>
                <w:rFonts w:hint="eastAsia" w:ascii="仿宋_GB2312" w:hAnsi="仿宋" w:eastAsia="仿宋_GB2312" w:cs="宋体"/>
                <w:kern w:val="0"/>
                <w:sz w:val="24"/>
                <w:szCs w:val="24"/>
              </w:rPr>
              <w:br w:type="textWrapping"/>
            </w:r>
            <w:r>
              <w:rPr>
                <w:rFonts w:hint="eastAsia" w:ascii="仿宋_GB2312" w:hAnsi="仿宋" w:eastAsia="仿宋_GB2312" w:cs="宋体"/>
                <w:kern w:val="0"/>
                <w:sz w:val="24"/>
                <w:szCs w:val="24"/>
              </w:rPr>
              <w:br w:type="textWrapping"/>
            </w:r>
            <w:r>
              <w:rPr>
                <w:rFonts w:hint="eastAsia" w:ascii="仿宋_GB2312" w:hAnsi="仿宋" w:eastAsia="仿宋_GB2312" w:cs="宋体"/>
                <w:kern w:val="0"/>
                <w:sz w:val="24"/>
                <w:szCs w:val="24"/>
              </w:rPr>
              <w:br w:type="textWrapping"/>
            </w:r>
          </w:p>
          <w:p>
            <w:pPr>
              <w:widowControl/>
              <w:jc w:val="center"/>
              <w:rPr>
                <w:rFonts w:ascii="仿宋_GB2312" w:hAnsi="仿宋" w:eastAsia="仿宋_GB2312" w:cs="宋体"/>
                <w:kern w:val="0"/>
                <w:sz w:val="24"/>
                <w:szCs w:val="24"/>
              </w:rPr>
            </w:pPr>
          </w:p>
          <w:p>
            <w:pPr>
              <w:widowControl/>
              <w:jc w:val="center"/>
              <w:rPr>
                <w:rFonts w:ascii="仿宋_GB2312" w:hAnsi="仿宋" w:eastAsia="仿宋_GB2312" w:cs="宋体"/>
                <w:kern w:val="0"/>
                <w:sz w:val="24"/>
                <w:szCs w:val="24"/>
              </w:rPr>
            </w:pPr>
          </w:p>
          <w:p>
            <w:pPr>
              <w:widowControl/>
              <w:jc w:val="center"/>
              <w:rPr>
                <w:rFonts w:ascii="仿宋_GB2312" w:hAnsi="仿宋" w:eastAsia="仿宋_GB2312" w:cs="宋体"/>
                <w:kern w:val="0"/>
                <w:sz w:val="24"/>
                <w:szCs w:val="24"/>
              </w:rPr>
            </w:pPr>
          </w:p>
          <w:p>
            <w:pPr>
              <w:widowControl/>
              <w:jc w:val="center"/>
              <w:rPr>
                <w:rFonts w:ascii="仿宋_GB2312" w:hAnsi="仿宋" w:eastAsia="仿宋_GB2312" w:cs="宋体"/>
                <w:kern w:val="0"/>
                <w:sz w:val="24"/>
                <w:szCs w:val="24"/>
              </w:rPr>
            </w:pP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0-6岁儿童和7-17岁</w:t>
            </w: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儿童</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人工耳蜗植入手术及服务※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植入人工耳蜗。具体内容及标准参见《山东省听力残疾儿童人工耳蜗康复救助项目管理实施细则》。</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其他救助资金/康复专项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lang w:eastAsia="zh-CN"/>
              </w:rPr>
              <w:t>省残联组织</w:t>
            </w:r>
            <w:r>
              <w:rPr>
                <w:rFonts w:hint="eastAsia" w:ascii="仿宋_GB2312" w:hAnsi="仿宋" w:eastAsia="仿宋_GB2312" w:cs="宋体"/>
                <w:color w:val="000000"/>
                <w:kern w:val="0"/>
                <w:sz w:val="24"/>
                <w:szCs w:val="24"/>
              </w:rPr>
              <w:t>免费实施人工耳蜗植入手术。</w:t>
            </w:r>
          </w:p>
        </w:tc>
      </w:tr>
      <w:tr>
        <w:tblPrEx>
          <w:tblLayout w:type="fixed"/>
          <w:tblCellMar>
            <w:top w:w="0" w:type="dxa"/>
            <w:left w:w="108" w:type="dxa"/>
            <w:bottom w:w="0" w:type="dxa"/>
            <w:right w:w="108" w:type="dxa"/>
          </w:tblCellMar>
        </w:tblPrEx>
        <w:trPr>
          <w:trHeight w:val="9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助听器适配及服务※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1.助听器。双耳配戴；每年助听器调试不少于2次。</w:t>
            </w:r>
          </w:p>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2.已植入人工耳蜗者，单耳佩戴助听器，调试同上。                           </w:t>
            </w:r>
          </w:p>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3.大龄儿童助听器适配，双耳配戴，适配后第一年助听调试不少于2次，之后每年助听调试1-2次。</w:t>
            </w:r>
          </w:p>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4.助听器辅助材料。耳模，每半年评估1次。电池，每日自行评估。根据评估结果更换耳模、电池。</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适配所需助听器等辅具。</w:t>
            </w:r>
          </w:p>
        </w:tc>
      </w:tr>
      <w:tr>
        <w:tblPrEx>
          <w:tblLayout w:type="fixed"/>
          <w:tblCellMar>
            <w:top w:w="0" w:type="dxa"/>
            <w:left w:w="108" w:type="dxa"/>
            <w:bottom w:w="0" w:type="dxa"/>
            <w:right w:w="108" w:type="dxa"/>
          </w:tblCellMar>
        </w:tblPrEx>
        <w:trPr>
          <w:trHeight w:val="144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听觉言语功能训练（机构内集中康复训练）</w:t>
            </w:r>
          </w:p>
        </w:tc>
        <w:tc>
          <w:tcPr>
            <w:tcW w:w="7655"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功能评估，至少提供2次听觉、言语康复能力评估(术前或适配前1次,术后或适配后1次)。康复训练，根据评估结果，每年训练时间不少于10个月, 每月不少于22天，每日基本康复训练至少3小时，单训不少于30分钟。小年龄及入普幼等不能坚持全日制康复训练的儿童，根据实际情况参考上述训练内容。</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hAnsi="仿宋" w:eastAsia="仿宋_GB2312" w:cs="宋体"/>
                <w:color w:val="000000"/>
                <w:kern w:val="0"/>
                <w:sz w:val="24"/>
                <w:szCs w:val="24"/>
                <w:lang w:val="en-US" w:eastAsia="zh-CN"/>
              </w:rPr>
            </w:pPr>
            <w:r>
              <w:rPr>
                <w:rFonts w:hint="eastAsia" w:ascii="仿宋_GB2312" w:hAnsi="仿宋" w:eastAsia="仿宋_GB2312" w:cs="宋体"/>
                <w:color w:val="000000"/>
                <w:kern w:val="0"/>
                <w:sz w:val="24"/>
                <w:szCs w:val="24"/>
              </w:rPr>
              <w:t>年补助1.5万元</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lang w:val="en-US" w:eastAsia="zh-CN"/>
              </w:rPr>
              <w:t>0.25万元交通生活补贴。</w:t>
            </w:r>
          </w:p>
        </w:tc>
      </w:tr>
      <w:tr>
        <w:tblPrEx>
          <w:tblLayout w:type="fixed"/>
          <w:tblCellMar>
            <w:top w:w="0" w:type="dxa"/>
            <w:left w:w="108" w:type="dxa"/>
            <w:bottom w:w="0" w:type="dxa"/>
            <w:right w:w="108" w:type="dxa"/>
          </w:tblCellMar>
        </w:tblPrEx>
        <w:trPr>
          <w:trHeight w:val="123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听觉言语功能训练（“机构+社区+家庭”</w:t>
            </w:r>
          </w:p>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康复训练）</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评估、训练内容根据实际情况参考上述标准进行，每年累计训练时间不少于3个月。</w:t>
            </w:r>
          </w:p>
          <w:p>
            <w:pPr>
              <w:widowControl/>
              <w:jc w:val="left"/>
              <w:rPr>
                <w:rFonts w:ascii="仿宋_GB2312" w:hAnsi="仿宋" w:eastAsia="仿宋_GB2312" w:cs="宋体"/>
                <w:color w:val="000000"/>
                <w:kern w:val="0"/>
                <w:sz w:val="24"/>
                <w:szCs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0.5万元。</w:t>
            </w:r>
          </w:p>
        </w:tc>
      </w:tr>
      <w:tr>
        <w:tblPrEx>
          <w:tblLayout w:type="fixed"/>
          <w:tblCellMar>
            <w:top w:w="0" w:type="dxa"/>
            <w:left w:w="108" w:type="dxa"/>
            <w:bottom w:w="0" w:type="dxa"/>
            <w:right w:w="108" w:type="dxa"/>
          </w:tblCellMar>
        </w:tblPrEx>
        <w:trPr>
          <w:trHeight w:val="84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大龄儿童助听器适应性训练</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训练内容参考听觉言语功能训练，训练时间不少于1个月，每周至少服务1次，每次不少于30分钟。</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106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儿童家长康复指导、心理辅导、康复咨询等服务。低龄儿童：每年家长康复指导不少于10个月，每月至少服务2次，每次不少于30分钟。大龄儿童：每半年至少1次指导，每次不少于30分钟。</w:t>
            </w:r>
          </w:p>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结合家庭医生签约服务，为签约残疾人提供听力残疾康复相关指导。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88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成人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辅助器具适配及适应训练</w:t>
            </w:r>
          </w:p>
        </w:tc>
        <w:tc>
          <w:tcPr>
            <w:tcW w:w="7655" w:type="dxa"/>
            <w:tcBorders>
              <w:top w:val="nil"/>
              <w:left w:val="nil"/>
              <w:bottom w:val="single" w:color="auto" w:sz="4" w:space="0"/>
              <w:right w:val="single" w:color="auto" w:sz="4" w:space="0"/>
            </w:tcBorders>
            <w:shd w:val="clear" w:color="auto" w:fill="auto"/>
            <w:vAlign w:val="center"/>
          </w:tcPr>
          <w:p>
            <w:pPr>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助听器，至少1耳配戴助听器，适配后第一年助听调试不少于2次，之后每年助听调试1-2次；助听器适应性训练，训练时间不少于1个月，每周至少服务1次，每次不少于30分钟。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提供所需基本型辅助器具。</w:t>
            </w:r>
          </w:p>
        </w:tc>
      </w:tr>
      <w:tr>
        <w:tblPrEx>
          <w:tblLayout w:type="fixed"/>
          <w:tblCellMar>
            <w:top w:w="0" w:type="dxa"/>
            <w:left w:w="108" w:type="dxa"/>
            <w:bottom w:w="0" w:type="dxa"/>
            <w:right w:w="108" w:type="dxa"/>
          </w:tblCellMar>
        </w:tblPrEx>
        <w:trPr>
          <w:trHeight w:val="38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85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结合家庭医生签约服务，为签约残疾人提供听力残疾康复相关指导。</w:t>
            </w:r>
          </w:p>
        </w:tc>
        <w:tc>
          <w:tcPr>
            <w:tcW w:w="12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1274"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肢体残疾</w:t>
            </w: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p>
          <w:p>
            <w:pPr>
              <w:widowControl/>
              <w:jc w:val="both"/>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肢体残疾</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0-6岁儿童和7-17岁儿童</w:t>
            </w: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           </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矫治手术※</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先天性马蹄内翻足等足畸形、小儿麻痹后遗症、脑瘫导致严重痉挛、肌腱挛缩、关节畸形及脱位、脊柱裂导致下肢畸形等矫治手术。具体内容及标准参见《山东省肢体残疾儿童矫治手术康复救助项目实施方案》。</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基本医保/其他救助资金/康复专项</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lang w:eastAsia="zh-CN"/>
              </w:rPr>
              <w:t>省残联组织</w:t>
            </w:r>
            <w:r>
              <w:rPr>
                <w:rFonts w:hint="eastAsia" w:ascii="仿宋_GB2312" w:hAnsi="仿宋" w:eastAsia="仿宋_GB2312" w:cs="宋体"/>
                <w:color w:val="000000"/>
                <w:kern w:val="0"/>
                <w:sz w:val="24"/>
                <w:szCs w:val="24"/>
              </w:rPr>
              <w:t>免费实施肢残矫治手术。</w:t>
            </w:r>
          </w:p>
        </w:tc>
      </w:tr>
      <w:tr>
        <w:tblPrEx>
          <w:tblLayout w:type="fixed"/>
          <w:tblCellMar>
            <w:top w:w="0" w:type="dxa"/>
            <w:left w:w="108" w:type="dxa"/>
            <w:bottom w:w="0" w:type="dxa"/>
            <w:right w:w="108" w:type="dxa"/>
          </w:tblCellMar>
        </w:tblPrEx>
        <w:trPr>
          <w:trHeight w:val="74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辅助器具适配及服务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根据评估结果选择适配基本型假肢、矫形器、轮椅、助行器具、坐姿椅、站立架等辅助器具，提供使用指导。参考不同辅具使用年限进行评估，必要时予以更换。</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提供所需辅具及相关服务。</w:t>
            </w:r>
          </w:p>
        </w:tc>
      </w:tr>
      <w:tr>
        <w:tblPrEx>
          <w:tblLayout w:type="fixed"/>
          <w:tblCellMar>
            <w:top w:w="0" w:type="dxa"/>
            <w:left w:w="108" w:type="dxa"/>
            <w:bottom w:w="0" w:type="dxa"/>
            <w:right w:w="108" w:type="dxa"/>
          </w:tblCellMar>
        </w:tblPrEx>
        <w:trPr>
          <w:trHeight w:val="165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运动及适应训练（机构内集中康复训练）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功能评估（含运动功能、语言、日常生活、社会参与能力</w:t>
            </w:r>
            <w:r>
              <w:rPr>
                <w:rFonts w:hint="eastAsia" w:ascii="仿宋_GB2312" w:hAnsi="仿宋" w:eastAsia="仿宋_GB2312" w:cs="宋体"/>
                <w:color w:val="000000" w:themeColor="text1"/>
                <w:kern w:val="0"/>
                <w:sz w:val="24"/>
                <w:szCs w:val="24"/>
                <w14:textFill>
                  <w14:solidFill>
                    <w14:schemeClr w14:val="tx1"/>
                  </w14:solidFill>
                </w14:textFill>
              </w:rPr>
              <w:t>等）每年不少于3次。</w:t>
            </w:r>
            <w:r>
              <w:rPr>
                <w:rFonts w:hint="eastAsia" w:ascii="仿宋_GB2312" w:hAnsi="仿宋" w:eastAsia="仿宋_GB2312" w:cs="宋体"/>
                <w:color w:val="000000"/>
                <w:kern w:val="0"/>
                <w:sz w:val="24"/>
                <w:szCs w:val="24"/>
              </w:rPr>
              <w:t>康复训练（包括维持关节活动度、增强肌力、语言训练、日常生活能力训练、社会参与能力训练等），根据评估结果，每年训练时间不少于10个月,</w:t>
            </w:r>
            <w:r>
              <w:rPr>
                <w:rFonts w:hint="eastAsia"/>
              </w:rPr>
              <w:t xml:space="preserve"> </w:t>
            </w:r>
            <w:r>
              <w:rPr>
                <w:rFonts w:hint="eastAsia" w:ascii="仿宋_GB2312" w:hAnsi="仿宋" w:eastAsia="仿宋_GB2312" w:cs="宋体"/>
                <w:color w:val="000000"/>
                <w:kern w:val="0"/>
                <w:sz w:val="24"/>
                <w:szCs w:val="24"/>
              </w:rPr>
              <w:t>每月不少于22天，结合儿童个体情况</w:t>
            </w:r>
            <w:r>
              <w:rPr>
                <w:rFonts w:hint="eastAsia" w:ascii="仿宋_GB2312" w:hAnsi="仿宋" w:eastAsia="仿宋_GB2312" w:cs="宋体"/>
                <w:color w:val="000000" w:themeColor="text1"/>
                <w:kern w:val="0"/>
                <w:sz w:val="24"/>
                <w:szCs w:val="24"/>
                <w14:textFill>
                  <w14:solidFill>
                    <w14:schemeClr w14:val="tx1"/>
                  </w14:solidFill>
                </w14:textFill>
              </w:rPr>
              <w:t>每天开展相应康复训练。</w:t>
            </w:r>
            <w:r>
              <w:rPr>
                <w:rFonts w:hint="eastAsia" w:ascii="仿宋_GB2312" w:hAnsi="仿宋" w:eastAsia="仿宋_GB2312" w:cs="宋体"/>
                <w:color w:val="000000"/>
                <w:kern w:val="0"/>
                <w:sz w:val="24"/>
                <w:szCs w:val="24"/>
              </w:rPr>
              <w:t>其中，运动疗法、物理因子治疗等物理治疗手段，每天训练至少1次，每次至少30分钟；各种作业活动、主题教学、集体活动等，每天训练至少1次，每次至少30分钟；需要进行言语治疗的开展言语训练，每天开展训练1次，每次至少30分钟；开展家长培训和咨询服务，每月不少于1次；开展多种形式的文化、体育、娱乐等社会融入活动；有条件的根据需要开展相关中医康复治疗、心理行为干预等。小年龄及入普幼等不能坚持全日制康复训练的儿童，根据实际情况参考上述训练内容。</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脑瘫儿童年补助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1.5万元</w:t>
            </w:r>
            <w:r>
              <w:rPr>
                <w:rFonts w:hint="eastAsia" w:ascii="仿宋_GB2312" w:hAnsi="仿宋" w:eastAsia="仿宋_GB2312" w:cs="宋体"/>
                <w:color w:val="000000"/>
                <w:kern w:val="0"/>
                <w:sz w:val="24"/>
                <w:szCs w:val="24"/>
                <w:lang w:eastAsia="zh-CN"/>
              </w:rPr>
              <w:t>；交通生活补贴</w:t>
            </w:r>
            <w:r>
              <w:rPr>
                <w:rFonts w:hint="eastAsia" w:ascii="仿宋_GB2312" w:hAnsi="仿宋" w:eastAsia="仿宋_GB2312" w:cs="宋体"/>
                <w:color w:val="000000"/>
                <w:kern w:val="0"/>
                <w:sz w:val="24"/>
                <w:szCs w:val="24"/>
                <w:lang w:val="en-US" w:eastAsia="zh-CN"/>
              </w:rPr>
              <w:t>0.25万元</w:t>
            </w:r>
            <w:r>
              <w:rPr>
                <w:rFonts w:hint="eastAsia" w:ascii="仿宋_GB2312" w:hAnsi="仿宋" w:eastAsia="仿宋_GB2312" w:cs="宋体"/>
                <w:color w:val="000000"/>
                <w:kern w:val="0"/>
                <w:sz w:val="24"/>
                <w:szCs w:val="24"/>
              </w:rPr>
              <w:t>。</w:t>
            </w:r>
          </w:p>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脑瘫以外的其它肢体残疾可根据康复需求评估情况适当参考脑瘫救助。</w:t>
            </w:r>
          </w:p>
        </w:tc>
      </w:tr>
      <w:tr>
        <w:tblPrEx>
          <w:tblLayout w:type="fixed"/>
          <w:tblCellMar>
            <w:top w:w="0" w:type="dxa"/>
            <w:left w:w="108" w:type="dxa"/>
            <w:bottom w:w="0" w:type="dxa"/>
            <w:right w:w="108" w:type="dxa"/>
          </w:tblCellMar>
        </w:tblPrEx>
        <w:trPr>
          <w:trHeight w:val="165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运动及适应训练（“机构+社区+家庭”</w:t>
            </w: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评估、训练内容根据实际情况参考上述标准进行，每年累计训练时间不少于3个月。</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脑瘫儿童年补助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0.5万元。</w:t>
            </w:r>
          </w:p>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脑瘫以外的其他肢体残疾可根据康复需求评估情况适当参考脑瘫救助。</w:t>
            </w:r>
          </w:p>
        </w:tc>
      </w:tr>
      <w:tr>
        <w:tblPrEx>
          <w:tblLayout w:type="fixed"/>
          <w:tblCellMar>
            <w:top w:w="0" w:type="dxa"/>
            <w:left w:w="108" w:type="dxa"/>
            <w:bottom w:w="0" w:type="dxa"/>
            <w:right w:w="108" w:type="dxa"/>
          </w:tblCellMar>
        </w:tblPrEx>
        <w:trPr>
          <w:trHeight w:val="89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儿童家长康复知识培训、心理辅导、康复咨询与指导等服务。每年家长康复指导不少于10个月，每月至少服务2次，每次不少于30分钟。</w:t>
            </w:r>
          </w:p>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结合家庭医生签约服务，为签约残疾人提供肢体残疾康复相关指导。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93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kern w:val="0"/>
                <w:sz w:val="24"/>
                <w:szCs w:val="24"/>
                <w:lang w:eastAsia="zh-CN"/>
              </w:rPr>
            </w:pPr>
            <w:r>
              <w:rPr>
                <w:rFonts w:hint="eastAsia" w:ascii="仿宋_GB2312" w:hAnsi="仿宋" w:eastAsia="仿宋_GB2312" w:cs="宋体"/>
                <w:color w:val="000000"/>
                <w:kern w:val="0"/>
                <w:sz w:val="24"/>
                <w:szCs w:val="24"/>
              </w:rPr>
              <w:t>成人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辅助器具适配及服务</w:t>
            </w:r>
          </w:p>
        </w:tc>
        <w:tc>
          <w:tcPr>
            <w:tcW w:w="7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根据评估结果选择适配基本型假肢、矫形器、轮椅、助行器具、生活自助具等辅助器具，提供使用指导。参考不同辅具使用年限进行评估，必要时予以更换。</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提供所需基本型辅助器具。</w:t>
            </w:r>
          </w:p>
        </w:tc>
      </w:tr>
      <w:tr>
        <w:tblPrEx>
          <w:tblLayout w:type="fixed"/>
          <w:tblCellMar>
            <w:top w:w="0" w:type="dxa"/>
            <w:left w:w="108" w:type="dxa"/>
            <w:bottom w:w="0" w:type="dxa"/>
            <w:right w:w="108" w:type="dxa"/>
          </w:tblCellMar>
        </w:tblPrEx>
        <w:trPr>
          <w:trHeight w:val="9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康复治疗</w:t>
            </w: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及训练</w:t>
            </w:r>
          </w:p>
        </w:tc>
        <w:tc>
          <w:tcPr>
            <w:tcW w:w="7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功能评估（含运动功能、认知能力、日常生活、社会参与能力等）；康复治疗及训练，包括运动疗法、作业疗法、肢体综合训练、认知训练等，每月训练不少于1次，每次30分钟。</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75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重度肢体残疾人日间照料、长期护理、居家护理等服务。</w:t>
            </w:r>
          </w:p>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结合家庭医生签约服务，为签约残疾人提供肢体残疾康复相关的指导。</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410"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智力残疾</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0-6岁儿童和7-17岁儿童</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认知及适应训练（机构内集中康复训练）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认知、生活自理和社会适应能力等）每年不少于3次。康复训练（包括认知、生活自理和社会适应能力训练等），根据评估结果，每年训练时间不少于10个月，每月不少于22天，每日基本康复训练至少3小时（其中要含集体训练、组别训练、个别训练、运动/感统训练等，具体计划根据儿童个体情况制定）。音乐游戏活动每周至少1次，每次至少0.5小时；社会融合活动每季度至少1次。家庭康复指导每周至少1次，每次至少0.5小时；家长培训每月至少1次，每次至少0.5小时。小年龄及入普幼等不能坚持全日制康复训练的儿童，根据实际情况参考上述训练内容。</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仿宋_GB2312" w:hAnsi="仿宋" w:eastAsia="仿宋_GB2312" w:cs="宋体"/>
                <w:color w:val="000000"/>
                <w:kern w:val="0"/>
                <w:sz w:val="24"/>
                <w:szCs w:val="24"/>
                <w:lang w:val="en-US" w:eastAsia="zh-CN"/>
              </w:rPr>
            </w:pPr>
            <w:r>
              <w:rPr>
                <w:rFonts w:hint="eastAsia" w:ascii="仿宋_GB2312" w:hAnsi="仿宋" w:eastAsia="仿宋_GB2312" w:cs="宋体"/>
                <w:color w:val="000000"/>
                <w:kern w:val="0"/>
                <w:sz w:val="24"/>
                <w:szCs w:val="24"/>
              </w:rPr>
              <w:t>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1.5万元</w:t>
            </w:r>
            <w:r>
              <w:rPr>
                <w:rFonts w:hint="eastAsia" w:ascii="仿宋_GB2312" w:hAnsi="仿宋" w:eastAsia="仿宋_GB2312" w:cs="宋体"/>
                <w:color w:val="000000"/>
                <w:kern w:val="0"/>
                <w:sz w:val="24"/>
                <w:szCs w:val="24"/>
                <w:lang w:eastAsia="zh-CN"/>
              </w:rPr>
              <w:t>；交通生活补贴</w:t>
            </w:r>
            <w:r>
              <w:rPr>
                <w:rFonts w:hint="eastAsia" w:ascii="仿宋_GB2312" w:hAnsi="仿宋" w:eastAsia="仿宋_GB2312" w:cs="宋体"/>
                <w:color w:val="000000"/>
                <w:kern w:val="0"/>
                <w:sz w:val="24"/>
                <w:szCs w:val="24"/>
                <w:lang w:val="en-US" w:eastAsia="zh-CN"/>
              </w:rPr>
              <w:t>0.25万元。</w:t>
            </w:r>
          </w:p>
        </w:tc>
      </w:tr>
      <w:tr>
        <w:tblPrEx>
          <w:tblLayout w:type="fixed"/>
          <w:tblCellMar>
            <w:top w:w="0" w:type="dxa"/>
            <w:left w:w="108" w:type="dxa"/>
            <w:bottom w:w="0" w:type="dxa"/>
            <w:right w:w="108" w:type="dxa"/>
          </w:tblCellMar>
        </w:tblPrEx>
        <w:trPr>
          <w:trHeight w:val="410" w:hRule="atLeast"/>
        </w:trPr>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认知及适应训练（“机构+社区+家庭”</w:t>
            </w:r>
          </w:p>
          <w:p>
            <w:pPr>
              <w:widowControl/>
              <w:jc w:val="righ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评估、训练内容根据实际情况参考上述标准进行，每年累计训练时间不少于3个月。</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0.5万元。</w:t>
            </w:r>
          </w:p>
        </w:tc>
      </w:tr>
      <w:tr>
        <w:tblPrEx>
          <w:tblLayout w:type="fixed"/>
          <w:tblCellMar>
            <w:top w:w="0" w:type="dxa"/>
            <w:left w:w="108" w:type="dxa"/>
            <w:bottom w:w="0" w:type="dxa"/>
            <w:right w:w="108" w:type="dxa"/>
          </w:tblCellMar>
        </w:tblPrEx>
        <w:trPr>
          <w:trHeight w:val="112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儿童家长康复知识培训、心理辅导、康复咨询与指导等服务。每年家长康复指导不少于10个月，每月至少服务2次，每次不少于30分钟。</w:t>
            </w:r>
          </w:p>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结合家庭医生签约服务，为签约残疾人提供智力残疾康复相关指导。</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8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成人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认知及适应</w:t>
            </w: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训练</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功能评估（含认知、生活自理和社会适应能力等）；康复训练，包括认知、生活自理、职业康复训练和社会适应能力训练等，每月不少于1次，每次不少于30分钟。</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52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重度智力残疾人日间照料、长期护理、居家护理等服务。</w:t>
            </w:r>
          </w:p>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结合家庭医生签约服务，为签约残疾人提供智力残疾康复相关指导。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130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精神残疾</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0-6岁</w:t>
            </w:r>
            <w:r>
              <w:rPr>
                <w:rFonts w:hint="eastAsia" w:ascii="仿宋_GB2312" w:hAnsi="仿宋" w:eastAsia="仿宋_GB2312" w:cs="宋体"/>
                <w:color w:val="000000"/>
                <w:kern w:val="0"/>
                <w:sz w:val="24"/>
                <w:szCs w:val="24"/>
              </w:rPr>
              <w:br w:type="textWrapping"/>
            </w:r>
            <w:r>
              <w:rPr>
                <w:rFonts w:hint="eastAsia" w:ascii="仿宋_GB2312" w:hAnsi="仿宋" w:eastAsia="仿宋_GB2312" w:cs="宋体"/>
                <w:color w:val="000000"/>
                <w:kern w:val="0"/>
                <w:sz w:val="24"/>
                <w:szCs w:val="24"/>
              </w:rPr>
              <w:t>孤独症儿童和7-17岁</w:t>
            </w:r>
            <w:r>
              <w:rPr>
                <w:rFonts w:hint="eastAsia" w:ascii="仿宋_GB2312" w:hAnsi="仿宋" w:eastAsia="仿宋_GB2312" w:cs="宋体"/>
                <w:color w:val="000000"/>
                <w:kern w:val="0"/>
                <w:sz w:val="24"/>
                <w:szCs w:val="24"/>
              </w:rPr>
              <w:br w:type="textWrapping"/>
            </w:r>
            <w:r>
              <w:rPr>
                <w:rFonts w:hint="eastAsia" w:ascii="仿宋_GB2312" w:hAnsi="仿宋" w:eastAsia="仿宋_GB2312" w:cs="宋体"/>
                <w:color w:val="000000"/>
                <w:kern w:val="0"/>
                <w:sz w:val="24"/>
                <w:szCs w:val="24"/>
              </w:rPr>
              <w:t>孤独症儿童</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沟通及适应训练（机构内集中康复训练）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功能评估（含言语沟通、社交能力、生活自理等）每年不少于3次。康复训练（包括言语沟通、 社交能力、生活自理能力等），根据评估结果，每年训练时间不少于10个月,</w:t>
            </w:r>
            <w:r>
              <w:rPr>
                <w:rFonts w:hint="eastAsia" w:ascii="Calibri" w:hAnsi="Calibri" w:eastAsia="宋体" w:cs="Times New Roman"/>
                <w:color w:val="000000"/>
              </w:rPr>
              <w:t xml:space="preserve"> </w:t>
            </w:r>
            <w:r>
              <w:rPr>
                <w:rFonts w:hint="eastAsia" w:ascii="仿宋_GB2312" w:hAnsi="Calibri" w:eastAsia="仿宋_GB2312" w:cs="Times New Roman"/>
                <w:color w:val="000000"/>
                <w:sz w:val="24"/>
                <w:szCs w:val="24"/>
              </w:rPr>
              <w:t>每月不少于22天，</w:t>
            </w:r>
            <w:r>
              <w:rPr>
                <w:rFonts w:hint="eastAsia" w:ascii="仿宋_GB2312" w:hAnsi="仿宋" w:eastAsia="仿宋_GB2312" w:cs="宋体"/>
                <w:color w:val="000000"/>
                <w:kern w:val="0"/>
                <w:sz w:val="24"/>
                <w:szCs w:val="24"/>
              </w:rPr>
              <w:t>每日基本康复训练至少3小时。课程设置参考智力残疾儿童康复训练。</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1.5万元</w:t>
            </w:r>
            <w:r>
              <w:rPr>
                <w:rFonts w:hint="eastAsia" w:ascii="仿宋_GB2312" w:hAnsi="仿宋" w:eastAsia="仿宋_GB2312" w:cs="宋体"/>
                <w:color w:val="000000"/>
                <w:kern w:val="0"/>
                <w:sz w:val="24"/>
                <w:szCs w:val="24"/>
                <w:lang w:eastAsia="zh-CN"/>
              </w:rPr>
              <w:t>；生活补贴</w:t>
            </w:r>
            <w:r>
              <w:rPr>
                <w:rFonts w:hint="eastAsia" w:ascii="仿宋_GB2312" w:hAnsi="仿宋" w:eastAsia="仿宋_GB2312" w:cs="宋体"/>
                <w:color w:val="000000"/>
                <w:kern w:val="0"/>
                <w:sz w:val="24"/>
                <w:szCs w:val="24"/>
                <w:lang w:val="en-US" w:eastAsia="zh-CN"/>
              </w:rPr>
              <w:t>0.25万元</w:t>
            </w:r>
            <w:r>
              <w:rPr>
                <w:rFonts w:hint="eastAsia" w:ascii="仿宋_GB2312" w:hAnsi="仿宋" w:eastAsia="仿宋_GB2312" w:cs="宋体"/>
                <w:color w:val="000000"/>
                <w:kern w:val="0"/>
                <w:sz w:val="24"/>
                <w:szCs w:val="24"/>
              </w:rPr>
              <w:t>。</w:t>
            </w:r>
          </w:p>
        </w:tc>
      </w:tr>
      <w:tr>
        <w:tblPrEx>
          <w:tblLayout w:type="fixed"/>
          <w:tblCellMar>
            <w:top w:w="0" w:type="dxa"/>
            <w:left w:w="108" w:type="dxa"/>
            <w:bottom w:w="0" w:type="dxa"/>
            <w:right w:w="108" w:type="dxa"/>
          </w:tblCellMar>
        </w:tblPrEx>
        <w:trPr>
          <w:trHeight w:val="1160" w:hRule="atLeast"/>
        </w:trPr>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沟通及适应训练（“机构+社区+家庭”</w:t>
            </w:r>
          </w:p>
          <w:p>
            <w:pPr>
              <w:widowControl/>
              <w:spacing w:line="28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康复训练）</w:t>
            </w:r>
          </w:p>
        </w:tc>
        <w:tc>
          <w:tcPr>
            <w:tcW w:w="76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评估、训练内容根据实际情况参考上述标准进行，每年累计训练时间不少于3个月。</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年补助</w:t>
            </w:r>
            <w:r>
              <w:rPr>
                <w:rFonts w:hint="eastAsia" w:ascii="仿宋_GB2312" w:hAnsi="仿宋" w:eastAsia="仿宋_GB2312" w:cs="宋体"/>
                <w:color w:val="000000"/>
                <w:kern w:val="0"/>
                <w:sz w:val="24"/>
                <w:szCs w:val="24"/>
                <w:lang w:eastAsia="zh-CN"/>
              </w:rPr>
              <w:t>康复训练费</w:t>
            </w:r>
            <w:r>
              <w:rPr>
                <w:rFonts w:hint="eastAsia" w:ascii="仿宋_GB2312" w:hAnsi="仿宋" w:eastAsia="仿宋_GB2312" w:cs="宋体"/>
                <w:color w:val="000000"/>
                <w:kern w:val="0"/>
                <w:sz w:val="24"/>
                <w:szCs w:val="24"/>
              </w:rPr>
              <w:t>0.5万元。</w:t>
            </w:r>
          </w:p>
        </w:tc>
      </w:tr>
      <w:tr>
        <w:tblPrEx>
          <w:tblLayout w:type="fixed"/>
          <w:tblCellMar>
            <w:top w:w="0" w:type="dxa"/>
            <w:left w:w="108" w:type="dxa"/>
            <w:bottom w:w="0" w:type="dxa"/>
            <w:right w:w="108" w:type="dxa"/>
          </w:tblCellMar>
        </w:tblPrEx>
        <w:trPr>
          <w:trHeight w:val="76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儿童家长康复知识培训、心理辅导、康复咨询与指导等服务。每年家长康复指导不少于10个月，每月至少服务2次，每次不少于30分钟。大龄儿童家长康复指导每半年至少1次，每次不少于30分钟。</w:t>
            </w:r>
          </w:p>
          <w:p>
            <w:pPr>
              <w:widowControl/>
              <w:spacing w:line="280" w:lineRule="exact"/>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结合家庭医生签约服务，为签约残疾人提供孤独症康复相关指导。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8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成年</w:t>
            </w:r>
            <w:r>
              <w:rPr>
                <w:rFonts w:hint="eastAsia" w:ascii="仿宋_GB2312" w:hAnsi="仿宋" w:eastAsia="仿宋_GB2312" w:cs="宋体"/>
                <w:color w:val="000000"/>
                <w:kern w:val="0"/>
                <w:sz w:val="24"/>
                <w:szCs w:val="24"/>
              </w:rPr>
              <w:br w:type="textWrapping"/>
            </w:r>
            <w:r>
              <w:rPr>
                <w:rFonts w:hint="eastAsia" w:ascii="仿宋_GB2312" w:hAnsi="仿宋" w:eastAsia="仿宋_GB2312" w:cs="宋体"/>
                <w:color w:val="000000"/>
                <w:kern w:val="0"/>
                <w:sz w:val="24"/>
                <w:szCs w:val="24"/>
              </w:rPr>
              <w:t>精神残疾人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精神疾病治疗</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精神病治疗基本药物；重症急性期患者住院治疗。标准参见《临床诊疗指南-精神病学分册》（中华医学会编著，人民卫生出版社）。</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基本医保/其他救助资金/康复专项/自费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残疾人自负部分由各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根据残疾人康复资金状况确定补助标准。</w:t>
            </w:r>
          </w:p>
        </w:tc>
      </w:tr>
      <w:tr>
        <w:tblPrEx>
          <w:tblLayout w:type="fixed"/>
          <w:tblCellMar>
            <w:top w:w="0" w:type="dxa"/>
            <w:left w:w="108" w:type="dxa"/>
            <w:bottom w:w="0" w:type="dxa"/>
            <w:right w:w="108" w:type="dxa"/>
          </w:tblCellMar>
        </w:tblPrEx>
        <w:trPr>
          <w:trHeight w:val="9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精神障碍</w:t>
            </w:r>
          </w:p>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作业疗法训练</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功能评估（含生活自理、社会交往、体能等）；作业疗法训练，包括日常生活活动（ADL）训练、家务活动训练等，每月不少于1次， 每次训练不少于30分钟。</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r>
        <w:tblPrEx>
          <w:tblLayout w:type="fixed"/>
          <w:tblCellMar>
            <w:top w:w="0" w:type="dxa"/>
            <w:left w:w="108" w:type="dxa"/>
            <w:bottom w:w="0" w:type="dxa"/>
            <w:right w:w="108" w:type="dxa"/>
          </w:tblCellMar>
        </w:tblPrEx>
        <w:trPr>
          <w:trHeight w:val="7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支持性服务</w:t>
            </w:r>
          </w:p>
        </w:tc>
        <w:tc>
          <w:tcPr>
            <w:tcW w:w="7655"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生活自理、心理疏导、日间照料、工（娱）疗、农疗、职业康复等服务；每月随访1次。</w:t>
            </w:r>
          </w:p>
          <w:p>
            <w:pPr>
              <w:widowControl/>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结合家庭医生签约服务，为签约残疾人提供精神残疾康复相关的指导。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康复专项/自费</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w:t>
            </w:r>
            <w:r>
              <w:rPr>
                <w:rFonts w:hint="eastAsia" w:ascii="仿宋_GB2312" w:hAnsi="仿宋" w:eastAsia="仿宋_GB2312" w:cs="宋体"/>
                <w:color w:val="000000"/>
                <w:kern w:val="0"/>
                <w:sz w:val="24"/>
                <w:szCs w:val="24"/>
                <w:lang w:eastAsia="zh-CN"/>
              </w:rPr>
              <w:t>区县</w:t>
            </w:r>
            <w:r>
              <w:rPr>
                <w:rFonts w:hint="eastAsia" w:ascii="仿宋_GB2312" w:hAnsi="仿宋" w:eastAsia="仿宋_GB2312" w:cs="宋体"/>
                <w:color w:val="000000"/>
                <w:kern w:val="0"/>
                <w:sz w:val="24"/>
                <w:szCs w:val="24"/>
              </w:rPr>
              <w:t>根据实际情况制定。</w:t>
            </w:r>
          </w:p>
        </w:tc>
      </w:tr>
    </w:tbl>
    <w:p>
      <w:pPr>
        <w:widowControl/>
        <w:spacing w:line="280" w:lineRule="exact"/>
        <w:ind w:left="880" w:hanging="880" w:hangingChars="400"/>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备注：1.</w:t>
      </w:r>
      <w:r>
        <w:rPr>
          <w:rFonts w:hint="eastAsia" w:ascii="仿宋_GB2312" w:eastAsia="仿宋_GB2312"/>
        </w:rPr>
        <w:t>已纳入</w:t>
      </w:r>
      <w:r>
        <w:rPr>
          <w:rFonts w:hint="eastAsia" w:ascii="仿宋_GB2312" w:hAnsi="仿宋" w:eastAsia="仿宋_GB2312" w:cs="宋体"/>
          <w:color w:val="000000"/>
          <w:kern w:val="0"/>
          <w:sz w:val="22"/>
        </w:rPr>
        <w:t>基本医疗保险基金支付范围或列入政府相关部门救助项目工程的康复服务项目，由基本医保或政府相关部门项目资金按规定支付，支付后的残疾人自负部分以及未纳入医保的康复服务项目由各</w:t>
      </w:r>
      <w:r>
        <w:rPr>
          <w:rFonts w:hint="eastAsia" w:ascii="仿宋_GB2312" w:hAnsi="仿宋" w:eastAsia="仿宋_GB2312" w:cs="宋体"/>
          <w:color w:val="000000"/>
          <w:kern w:val="0"/>
          <w:sz w:val="22"/>
          <w:lang w:eastAsia="zh-CN"/>
        </w:rPr>
        <w:t>区县</w:t>
      </w:r>
      <w:r>
        <w:rPr>
          <w:rFonts w:hint="eastAsia" w:ascii="仿宋_GB2312" w:hAnsi="仿宋" w:eastAsia="仿宋_GB2312" w:cs="宋体"/>
          <w:color w:val="000000"/>
          <w:kern w:val="0"/>
          <w:sz w:val="22"/>
        </w:rPr>
        <w:t xml:space="preserve">根据残疾人康复资金状况确定补助标准，定期与康复机构进行结算。                                                                                                                           </w:t>
      </w:r>
    </w:p>
    <w:p>
      <w:pPr>
        <w:widowControl/>
        <w:spacing w:line="280" w:lineRule="exact"/>
        <w:ind w:left="875" w:leftChars="312" w:hanging="220" w:hangingChars="100"/>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2.康复专项经费最低补贴标准为我</w:t>
      </w:r>
      <w:r>
        <w:rPr>
          <w:rFonts w:hint="eastAsia" w:ascii="仿宋_GB2312" w:hAnsi="仿宋" w:eastAsia="仿宋_GB2312" w:cs="宋体"/>
          <w:color w:val="000000"/>
          <w:kern w:val="0"/>
          <w:sz w:val="22"/>
          <w:lang w:eastAsia="zh-CN"/>
        </w:rPr>
        <w:t>市</w:t>
      </w:r>
      <w:r>
        <w:rPr>
          <w:rFonts w:hint="eastAsia" w:ascii="仿宋_GB2312" w:hAnsi="仿宋" w:eastAsia="仿宋_GB2312" w:cs="宋体"/>
          <w:color w:val="000000"/>
          <w:kern w:val="0"/>
          <w:sz w:val="22"/>
        </w:rPr>
        <w:t>补贴标准底限，</w:t>
      </w:r>
      <w:r>
        <w:rPr>
          <w:rFonts w:hint="eastAsia" w:ascii="仿宋_GB2312" w:hAnsi="仿宋" w:eastAsia="仿宋_GB2312" w:cs="宋体"/>
          <w:color w:val="000000"/>
          <w:kern w:val="0"/>
          <w:sz w:val="22"/>
          <w:lang w:eastAsia="zh-CN"/>
        </w:rPr>
        <w:t>各区县可</w:t>
      </w:r>
      <w:r>
        <w:rPr>
          <w:rFonts w:hint="eastAsia" w:ascii="仿宋_GB2312" w:hAnsi="仿宋" w:eastAsia="仿宋_GB2312" w:cs="宋体"/>
          <w:color w:val="000000"/>
          <w:kern w:val="0"/>
          <w:sz w:val="22"/>
        </w:rPr>
        <w:t>根据实际情况相应提高补贴标准。未明确最低补贴标准的由各</w:t>
      </w:r>
      <w:r>
        <w:rPr>
          <w:rFonts w:hint="eastAsia" w:ascii="仿宋_GB2312" w:hAnsi="仿宋" w:eastAsia="仿宋_GB2312" w:cs="宋体"/>
          <w:color w:val="000000"/>
          <w:kern w:val="0"/>
          <w:sz w:val="22"/>
          <w:lang w:eastAsia="zh-CN"/>
        </w:rPr>
        <w:t>区县</w:t>
      </w:r>
      <w:r>
        <w:rPr>
          <w:rFonts w:hint="eastAsia" w:ascii="仿宋_GB2312" w:hAnsi="仿宋" w:eastAsia="仿宋_GB2312" w:cs="宋体"/>
          <w:color w:val="000000"/>
          <w:kern w:val="0"/>
          <w:sz w:val="22"/>
        </w:rPr>
        <w:t>根据实际情况制定。</w:t>
      </w:r>
    </w:p>
    <w:p>
      <w:pPr>
        <w:widowControl/>
        <w:spacing w:line="280" w:lineRule="exact"/>
        <w:ind w:left="875" w:leftChars="312" w:hanging="220" w:hangingChars="100"/>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3.标注“※”的服务项目必须配套提供其他相应服务才能视为获得康复服务，低视力者适配助视器后须提供视功能训练，听力残疾儿童适配人工耳蜗或助听器后须提供听觉言语功能训练，肢体残疾儿童接受矫治手术后须提供运动及适应训练和必要的辅助器具。</w:t>
      </w:r>
    </w:p>
    <w:p>
      <w:pPr>
        <w:spacing w:line="280" w:lineRule="exact"/>
        <w:ind w:left="875" w:leftChars="312" w:hanging="220" w:hangingChars="100"/>
      </w:pPr>
      <w:r>
        <w:rPr>
          <w:rFonts w:hint="eastAsia" w:ascii="仿宋_GB2312" w:hAnsi="仿宋" w:eastAsia="仿宋_GB2312" w:cs="宋体"/>
          <w:color w:val="000000"/>
          <w:kern w:val="0"/>
          <w:sz w:val="22"/>
        </w:rPr>
        <w:t>4.结合家庭医生签约服务，将为签约残疾人提供与其残疾康复相关指导纳入本服务目录，具体服务种类、内容和补贴标准、家庭医生服务团队康复指导能力培训等由各地根据实际情况与相关部门制定。</w:t>
      </w:r>
    </w:p>
    <w:p/>
    <w:sectPr>
      <w:pgSz w:w="16838" w:h="11906" w:orient="landscape"/>
      <w:pgMar w:top="1077" w:right="1440" w:bottom="107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D6F50"/>
    <w:rsid w:val="03950075"/>
    <w:rsid w:val="082D6F50"/>
    <w:rsid w:val="099A4C8D"/>
    <w:rsid w:val="18A94A9C"/>
    <w:rsid w:val="199635B2"/>
    <w:rsid w:val="1D594926"/>
    <w:rsid w:val="25A85000"/>
    <w:rsid w:val="26FA6D1B"/>
    <w:rsid w:val="28B76082"/>
    <w:rsid w:val="451D27C3"/>
    <w:rsid w:val="463C5702"/>
    <w:rsid w:val="49B80640"/>
    <w:rsid w:val="4C90203E"/>
    <w:rsid w:val="508C334C"/>
    <w:rsid w:val="554F274B"/>
    <w:rsid w:val="570E0F65"/>
    <w:rsid w:val="6D2F0209"/>
    <w:rsid w:val="6E91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2019-02-27T05:37:00Z</dcterms:created>
  <dc:creator>kfkg</dc:creator>
  <cp:lastModifiedBy>lenovo</cp:lastModifiedBy>
  <cp:lastPrinted>2019-03-05T07:13:00Z</cp:lastPrinted>
  <dcterms:modified xsi:type="dcterms:W3CDTF">2019-04-10T06:36:19Z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