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淄博市</w:t>
      </w:r>
      <w:r>
        <w:rPr>
          <w:rFonts w:hint="eastAsia" w:ascii="方正小标宋简体" w:hAnsi="方正小标宋简体" w:eastAsia="方正小标宋简体"/>
          <w:bCs/>
          <w:sz w:val="44"/>
          <w:szCs w:val="44"/>
          <w:lang w:eastAsia="zh-CN"/>
        </w:rPr>
        <w:t>陶琉轻纺</w:t>
      </w:r>
      <w:r>
        <w:rPr>
          <w:rFonts w:hint="eastAsia" w:ascii="方正小标宋简体" w:hAnsi="方正小标宋简体" w:eastAsia="方正小标宋简体"/>
          <w:bCs/>
          <w:sz w:val="44"/>
          <w:szCs w:val="44"/>
        </w:rPr>
        <w:t>产业发展中心</w:t>
      </w:r>
    </w:p>
    <w:p>
      <w:pPr>
        <w:spacing w:line="600" w:lineRule="exact"/>
        <w:jc w:val="center"/>
        <w:rPr>
          <w:rFonts w:ascii="方正小标宋简体" w:hAnsi="方正小标宋简体" w:eastAsia="方正小标宋简体"/>
          <w:bCs/>
          <w:sz w:val="44"/>
          <w:szCs w:val="44"/>
        </w:rPr>
      </w:pPr>
      <w:r>
        <w:rPr>
          <w:rFonts w:hint="eastAsia" w:ascii="方正小标宋简体" w:hAnsi="方正小标宋简体" w:eastAsia="方正小标宋简体" w:cs="方正小标宋简体"/>
          <w:b/>
          <w:sz w:val="44"/>
          <w:szCs w:val="44"/>
        </w:rPr>
        <w:t>20</w:t>
      </w:r>
      <w:r>
        <w:rPr>
          <w:rFonts w:hint="eastAsia" w:ascii="方正小标宋简体" w:hAnsi="方正小标宋简体" w:eastAsia="方正小标宋简体" w:cs="方正小标宋简体"/>
          <w:b/>
          <w:sz w:val="44"/>
          <w:szCs w:val="44"/>
          <w:lang w:val="en-US" w:eastAsia="zh-CN"/>
        </w:rPr>
        <w:t>20</w:t>
      </w:r>
      <w:r>
        <w:rPr>
          <w:rFonts w:hint="eastAsia" w:ascii="方正小标宋简体" w:hAnsi="方正小标宋简体" w:eastAsia="方正小标宋简体" w:cs="方正小标宋简体"/>
          <w:b/>
          <w:sz w:val="44"/>
          <w:szCs w:val="44"/>
        </w:rPr>
        <w:t>年</w:t>
      </w:r>
      <w:r>
        <w:rPr>
          <w:rFonts w:hint="eastAsia" w:ascii="方正小标宋简体" w:hAnsi="方正小标宋简体" w:eastAsia="方正小标宋简体"/>
          <w:bCs/>
          <w:sz w:val="44"/>
          <w:szCs w:val="44"/>
        </w:rPr>
        <w:t>政府信息公开工作年度报告</w:t>
      </w:r>
    </w:p>
    <w:p>
      <w:pPr>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按照《国务院办公厅政府信息与政务公开办公室关于政府信息公开工作年度报告有关事项的通知》（国办公开办函〔2019〕60号）和市政府办公室部署，现将淄博市</w:t>
      </w:r>
      <w:r>
        <w:rPr>
          <w:rFonts w:hint="eastAsia" w:ascii="仿宋" w:hAnsi="仿宋" w:eastAsia="仿宋" w:cs="仿宋"/>
          <w:sz w:val="32"/>
          <w:szCs w:val="32"/>
          <w:lang w:eastAsia="zh-CN"/>
        </w:rPr>
        <w:t>陶琉轻纺</w:t>
      </w:r>
      <w:r>
        <w:rPr>
          <w:rFonts w:hint="eastAsia" w:ascii="仿宋" w:hAnsi="仿宋" w:eastAsia="仿宋" w:cs="仿宋"/>
          <w:sz w:val="32"/>
          <w:szCs w:val="32"/>
        </w:rPr>
        <w:t>产业发展中心2020年度政府信息公开工作情况向社会公布。报告内容分为总体情况、主动公开政府信息情况、收到和处理政府信息公开申请情况、政府信息公开行政复议和行政诉讼情况、政府信息公开工作存在的主要问题及改进情况、其他需要报告的事项</w:t>
      </w:r>
      <w:r>
        <w:rPr>
          <w:rFonts w:hint="eastAsia" w:ascii="仿宋" w:hAnsi="仿宋" w:eastAsia="仿宋" w:cs="仿宋"/>
          <w:sz w:val="32"/>
          <w:szCs w:val="32"/>
          <w:lang w:eastAsia="zh-CN"/>
        </w:rPr>
        <w:t>等六</w:t>
      </w:r>
      <w:r>
        <w:rPr>
          <w:rFonts w:hint="eastAsia" w:ascii="仿宋" w:hAnsi="仿宋" w:eastAsia="仿宋" w:cs="仿宋"/>
          <w:sz w:val="32"/>
          <w:szCs w:val="32"/>
        </w:rPr>
        <w:t>部分，时间自2020年1月1日至12月31日。报告电子版可从淄博市人民政府门户网站(</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"http://www.zibo.gov.cn/" \t "_blank" </w:instrText>
      </w:r>
      <w:r>
        <w:rPr>
          <w:rFonts w:hint="eastAsia" w:ascii="仿宋" w:hAnsi="仿宋" w:eastAsia="仿宋" w:cs="仿宋"/>
          <w:sz w:val="32"/>
          <w:szCs w:val="32"/>
        </w:rPr>
        <w:fldChar w:fldCharType="separate"/>
      </w:r>
      <w:r>
        <w:rPr>
          <w:rStyle w:val="9"/>
          <w:rFonts w:hint="eastAsia" w:ascii="仿宋" w:hAnsi="仿宋" w:eastAsia="仿宋" w:cs="仿宋"/>
          <w:sz w:val="32"/>
          <w:szCs w:val="32"/>
        </w:rPr>
        <w:t>www.zibo.gov.cn</w:t>
      </w:r>
      <w:r>
        <w:rPr>
          <w:rStyle w:val="9"/>
          <w:rFonts w:hint="eastAsia" w:ascii="仿宋" w:hAnsi="仿宋" w:eastAsia="仿宋" w:cs="仿宋"/>
          <w:sz w:val="32"/>
          <w:szCs w:val="32"/>
        </w:rPr>
        <w:fldChar w:fldCharType="end"/>
      </w:r>
      <w:r>
        <w:rPr>
          <w:rFonts w:hint="eastAsia" w:ascii="仿宋" w:hAnsi="仿宋" w:eastAsia="仿宋" w:cs="仿宋"/>
          <w:sz w:val="32"/>
          <w:szCs w:val="32"/>
        </w:rPr>
        <w:t>)下载。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eastAsia="zh-CN"/>
        </w:rPr>
      </w:pPr>
      <w:bookmarkStart w:id="0" w:name="_GoBack"/>
      <w:r>
        <w:rPr>
          <w:rFonts w:hint="eastAsia" w:ascii="黑体" w:hAnsi="黑体" w:eastAsia="黑体" w:cs="黑体"/>
          <w:sz w:val="32"/>
          <w:szCs w:val="32"/>
          <w:lang w:eastAsia="zh-CN"/>
        </w:rPr>
        <w:drawing>
          <wp:inline distT="0" distB="0" distL="114300" distR="114300">
            <wp:extent cx="5316220" cy="2985770"/>
            <wp:effectExtent l="0" t="0" r="17780" b="5080"/>
            <wp:docPr id="1" name="图片 1" descr="图1——微信截图_2021020910295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1——微信截图_20210209102956_副本"/>
                    <pic:cNvPicPr>
                      <a:picLocks noChangeAspect="1"/>
                    </pic:cNvPicPr>
                  </pic:nvPicPr>
                  <pic:blipFill>
                    <a:blip r:embed="rId5"/>
                    <a:stretch>
                      <a:fillRect/>
                    </a:stretch>
                  </pic:blipFill>
                  <pic:spPr>
                    <a:xfrm>
                      <a:off x="0" y="0"/>
                      <a:ext cx="5316220" cy="2985770"/>
                    </a:xfrm>
                    <a:prstGeom prst="rect">
                      <a:avLst/>
                    </a:prstGeom>
                  </pic:spPr>
                </pic:pic>
              </a:graphicData>
            </a:graphic>
          </wp:inline>
        </w:drawing>
      </w:r>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2020年，淄博市</w:t>
      </w:r>
      <w:r>
        <w:rPr>
          <w:rFonts w:hint="eastAsia" w:ascii="仿宋" w:hAnsi="仿宋" w:eastAsia="仿宋" w:cs="仿宋"/>
          <w:sz w:val="32"/>
          <w:szCs w:val="32"/>
          <w:lang w:eastAsia="zh-CN"/>
        </w:rPr>
        <w:t>陶琉轻纺</w:t>
      </w:r>
      <w:r>
        <w:rPr>
          <w:rFonts w:hint="eastAsia" w:ascii="仿宋" w:hAnsi="仿宋" w:eastAsia="仿宋" w:cs="仿宋"/>
          <w:sz w:val="32"/>
          <w:szCs w:val="32"/>
        </w:rPr>
        <w:t>产业发展中心认真贯彻落实《中华人民共和国政府信息公开条例》有关规定和市政府有关工作部署，围绕中心职责和重点工作，通过报刊杂志、咨询电话、门户网站等传统方式和新媒体方式，不断扩大公开范围，增强工作透明度，较好</w:t>
      </w:r>
      <w:r>
        <w:rPr>
          <w:rFonts w:hint="eastAsia" w:ascii="仿宋" w:hAnsi="仿宋" w:eastAsia="仿宋" w:cs="仿宋"/>
          <w:sz w:val="32"/>
          <w:szCs w:val="32"/>
          <w:lang w:eastAsia="zh-CN"/>
        </w:rPr>
        <w:t>地</w:t>
      </w:r>
      <w:r>
        <w:rPr>
          <w:rFonts w:hint="eastAsia" w:ascii="仿宋" w:hAnsi="仿宋" w:eastAsia="仿宋" w:cs="仿宋"/>
          <w:sz w:val="32"/>
          <w:szCs w:val="32"/>
        </w:rPr>
        <w:t>完成了年度工作任务。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（一）主动公开方面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2020年，做到</w:t>
      </w:r>
      <w:r>
        <w:rPr>
          <w:rFonts w:hint="eastAsia" w:ascii="仿宋" w:hAnsi="仿宋" w:eastAsia="仿宋" w:cs="仿宋"/>
          <w:sz w:val="32"/>
          <w:szCs w:val="32"/>
          <w:lang w:eastAsia="zh-CN"/>
        </w:rPr>
        <w:t>了</w:t>
      </w:r>
      <w:r>
        <w:rPr>
          <w:rFonts w:hint="eastAsia" w:ascii="仿宋" w:hAnsi="仿宋" w:eastAsia="仿宋" w:cs="仿宋"/>
          <w:sz w:val="32"/>
          <w:szCs w:val="32"/>
        </w:rPr>
        <w:t>应公开尽公开，通过淄博市人民政府门户网站主动发布各类信息</w:t>
      </w:r>
      <w:r>
        <w:rPr>
          <w:rFonts w:hint="eastAsia" w:ascii="仿宋" w:hAnsi="仿宋" w:eastAsia="仿宋" w:cs="仿宋"/>
          <w:sz w:val="32"/>
          <w:szCs w:val="32"/>
          <w:lang w:val="en-US" w:eastAsia="zh-CN"/>
        </w:rPr>
        <w:t>279</w:t>
      </w:r>
      <w:r>
        <w:rPr>
          <w:rFonts w:hint="eastAsia" w:ascii="仿宋" w:hAnsi="仿宋" w:eastAsia="仿宋" w:cs="仿宋"/>
          <w:sz w:val="32"/>
          <w:szCs w:val="32"/>
        </w:rPr>
        <w:t>条，其中，</w:t>
      </w:r>
      <w:r>
        <w:rPr>
          <w:rFonts w:hint="eastAsia" w:ascii="仿宋" w:hAnsi="仿宋" w:eastAsia="仿宋" w:cs="仿宋"/>
          <w:sz w:val="32"/>
          <w:szCs w:val="32"/>
          <w:lang w:eastAsia="zh-CN"/>
        </w:rPr>
        <w:t>优化营商环境</w:t>
      </w:r>
      <w:r>
        <w:rPr>
          <w:rFonts w:hint="eastAsia" w:ascii="仿宋" w:hAnsi="仿宋" w:eastAsia="仿宋" w:cs="仿宋"/>
          <w:sz w:val="32"/>
          <w:szCs w:val="32"/>
          <w:lang w:val="en-US" w:eastAsia="zh-CN"/>
        </w:rPr>
        <w:t>10条、政务动态34条、公共文化体育99条、法规公文16条、政务公共10条、规划计划20条、市场监管2条、机构职能6条、政策库1条、重大行政决策1条、信用淄博3条、建议提案办理5条、统计数据3条、防范化解重大风险2条、新闻发布会1条、行政执法1条、中心会议10条、社会信用1条、重要决策执行公开2条、统计信息1条、财政信息21条、重大项目2条和政府信息公开的制度、指南、目录、年度报告、组织领导、培训、工作推进信息28条总计279条信息，</w:t>
      </w:r>
      <w:r>
        <w:rPr>
          <w:rFonts w:hint="eastAsia" w:ascii="仿宋" w:hAnsi="仿宋" w:eastAsia="仿宋" w:cs="仿宋"/>
          <w:sz w:val="32"/>
          <w:szCs w:val="32"/>
        </w:rPr>
        <w:t>对社会各界掌握</w:t>
      </w:r>
      <w:r>
        <w:rPr>
          <w:rFonts w:hint="eastAsia" w:ascii="仿宋" w:hAnsi="仿宋" w:eastAsia="仿宋" w:cs="仿宋"/>
          <w:sz w:val="32"/>
          <w:szCs w:val="32"/>
          <w:lang w:eastAsia="zh-CN"/>
        </w:rPr>
        <w:t>淄博市陶琉轻纺</w:t>
      </w:r>
      <w:r>
        <w:rPr>
          <w:rFonts w:hint="eastAsia" w:ascii="仿宋" w:hAnsi="仿宋" w:eastAsia="仿宋" w:cs="仿宋"/>
          <w:sz w:val="32"/>
          <w:szCs w:val="32"/>
        </w:rPr>
        <w:t>行业</w:t>
      </w:r>
      <w:r>
        <w:rPr>
          <w:rFonts w:hint="eastAsia" w:ascii="仿宋" w:hAnsi="仿宋" w:eastAsia="仿宋" w:cs="仿宋"/>
          <w:sz w:val="32"/>
          <w:szCs w:val="32"/>
          <w:lang w:eastAsia="zh-CN"/>
        </w:rPr>
        <w:t>动态</w:t>
      </w:r>
      <w:r>
        <w:rPr>
          <w:rFonts w:hint="eastAsia" w:ascii="仿宋" w:hAnsi="仿宋" w:eastAsia="仿宋" w:cs="仿宋"/>
          <w:sz w:val="32"/>
          <w:szCs w:val="32"/>
        </w:rPr>
        <w:t>信息起到了积极的作用。</w:t>
      </w:r>
      <w:r>
        <w:rPr>
          <w:rFonts w:hint="eastAsia" w:ascii="仿宋" w:hAnsi="仿宋" w:eastAsia="仿宋" w:cs="仿宋"/>
          <w:sz w:val="32"/>
          <w:szCs w:val="32"/>
          <w:lang w:eastAsia="zh-CN"/>
        </w:rPr>
        <w:t>其中：已公开了答复完毕的市人大代表建议</w:t>
      </w:r>
      <w:r>
        <w:rPr>
          <w:rFonts w:hint="eastAsia" w:ascii="仿宋" w:hAnsi="仿宋" w:eastAsia="仿宋" w:cs="仿宋"/>
          <w:sz w:val="32"/>
          <w:szCs w:val="32"/>
          <w:lang w:val="en-US" w:eastAsia="zh-CN"/>
        </w:rPr>
        <w:t>0件</w:t>
      </w:r>
      <w:r>
        <w:rPr>
          <w:rFonts w:hint="eastAsia" w:ascii="仿宋" w:hAnsi="仿宋" w:eastAsia="仿宋" w:cs="仿宋"/>
          <w:sz w:val="32"/>
          <w:szCs w:val="32"/>
          <w:lang w:eastAsia="zh-CN"/>
        </w:rPr>
        <w:t>、政协委员提案2件。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4131310" cy="6885940"/>
            <wp:effectExtent l="0" t="0" r="2540" b="10160"/>
            <wp:docPr id="2" name="图片 2" descr="图3——公共文化体育-政务公开-淄博市陶琉轻纺产业发展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3——公共文化体育-政务公开-淄博市陶琉轻纺产业发展中心"/>
                    <pic:cNvPicPr>
                      <a:picLocks noChangeAspect="1"/>
                    </pic:cNvPicPr>
                  </pic:nvPicPr>
                  <pic:blipFill>
                    <a:blip r:embed="rId6"/>
                    <a:stretch>
                      <a:fillRect/>
                    </a:stretch>
                  </pic:blipFill>
                  <pic:spPr>
                    <a:xfrm>
                      <a:off x="0" y="0"/>
                      <a:ext cx="4131310" cy="68859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（二）依申请公开方面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eastAsia="zh-CN"/>
        </w:rPr>
        <w:t>淄博市陶琉轻纺产业发展中心</w:t>
      </w:r>
      <w:r>
        <w:rPr>
          <w:rFonts w:hint="eastAsia" w:ascii="仿宋" w:hAnsi="仿宋" w:eastAsia="仿宋" w:cs="仿宋"/>
          <w:sz w:val="32"/>
          <w:szCs w:val="32"/>
        </w:rPr>
        <w:t>通过接受</w:t>
      </w:r>
      <w:r>
        <w:rPr>
          <w:rFonts w:hint="eastAsia" w:ascii="仿宋" w:hAnsi="仿宋" w:eastAsia="仿宋" w:cs="仿宋"/>
          <w:sz w:val="32"/>
          <w:szCs w:val="32"/>
          <w:lang w:eastAsia="zh-CN"/>
        </w:rPr>
        <w:t>系统</w:t>
      </w:r>
      <w:r>
        <w:rPr>
          <w:rFonts w:hint="eastAsia" w:ascii="仿宋" w:hAnsi="仿宋" w:eastAsia="仿宋" w:cs="仿宋"/>
          <w:sz w:val="32"/>
          <w:szCs w:val="32"/>
        </w:rPr>
        <w:t>培训</w:t>
      </w:r>
      <w:r>
        <w:rPr>
          <w:rFonts w:hint="eastAsia" w:ascii="仿宋" w:hAnsi="仿宋" w:eastAsia="仿宋" w:cs="仿宋"/>
          <w:sz w:val="32"/>
          <w:szCs w:val="32"/>
          <w:lang w:eastAsia="zh-CN"/>
        </w:rPr>
        <w:t>、</w:t>
      </w:r>
      <w:r>
        <w:rPr>
          <w:rFonts w:hint="eastAsia" w:ascii="仿宋" w:hAnsi="仿宋" w:eastAsia="仿宋" w:cs="仿宋"/>
          <w:sz w:val="32"/>
          <w:szCs w:val="32"/>
        </w:rPr>
        <w:t>完善受理登记、调查核实、答复书制作、合法性审查、文书送达、案卷归档</w:t>
      </w:r>
      <w:r>
        <w:rPr>
          <w:rFonts w:hint="eastAsia" w:ascii="仿宋" w:hAnsi="仿宋" w:eastAsia="仿宋" w:cs="仿宋"/>
          <w:sz w:val="32"/>
          <w:szCs w:val="32"/>
          <w:lang w:eastAsia="zh-CN"/>
        </w:rPr>
        <w:t>，</w:t>
      </w:r>
      <w:r>
        <w:rPr>
          <w:rFonts w:hint="eastAsia" w:ascii="仿宋" w:hAnsi="仿宋" w:eastAsia="仿宋" w:cs="仿宋"/>
          <w:sz w:val="32"/>
          <w:szCs w:val="32"/>
        </w:rPr>
        <w:t>严格办理流程</w:t>
      </w:r>
      <w:r>
        <w:rPr>
          <w:rFonts w:hint="eastAsia" w:ascii="仿宋" w:hAnsi="仿宋" w:eastAsia="仿宋" w:cs="仿宋"/>
          <w:sz w:val="32"/>
          <w:szCs w:val="32"/>
          <w:lang w:eastAsia="zh-CN"/>
        </w:rPr>
        <w:t>，畅通了政务公开渠道</w:t>
      </w:r>
      <w:r>
        <w:rPr>
          <w:rFonts w:hint="eastAsia" w:ascii="仿宋" w:hAnsi="仿宋" w:eastAsia="仿宋" w:cs="仿宋"/>
          <w:sz w:val="32"/>
          <w:szCs w:val="32"/>
        </w:rPr>
        <w:t>。</w:t>
      </w:r>
      <w:r>
        <w:rPr>
          <w:rFonts w:hint="eastAsia" w:ascii="仿宋" w:hAnsi="仿宋" w:eastAsia="仿宋" w:cs="仿宋"/>
          <w:sz w:val="32"/>
          <w:szCs w:val="32"/>
          <w:lang w:eastAsia="zh-CN"/>
        </w:rPr>
        <w:t>一年内</w:t>
      </w:r>
      <w:r>
        <w:rPr>
          <w:rFonts w:hint="eastAsia" w:ascii="仿宋" w:hAnsi="仿宋" w:eastAsia="仿宋" w:cs="仿宋"/>
          <w:sz w:val="32"/>
          <w:szCs w:val="32"/>
        </w:rPr>
        <w:t>共受理获取“主要负责人（一把手）2019年度述职述廉报告”</w:t>
      </w:r>
      <w:r>
        <w:rPr>
          <w:rFonts w:hint="eastAsia" w:ascii="仿宋" w:hAnsi="仿宋" w:eastAsia="仿宋" w:cs="仿宋"/>
          <w:sz w:val="32"/>
          <w:szCs w:val="32"/>
          <w:lang w:eastAsia="zh-CN"/>
        </w:rPr>
        <w:t>的</w:t>
      </w:r>
      <w:r>
        <w:rPr>
          <w:rFonts w:hint="eastAsia" w:ascii="仿宋" w:hAnsi="仿宋" w:eastAsia="仿宋" w:cs="仿宋"/>
          <w:sz w:val="32"/>
          <w:szCs w:val="32"/>
        </w:rPr>
        <w:t>政府信息公开申请1件，</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7日内</w:t>
      </w:r>
      <w:r>
        <w:rPr>
          <w:rFonts w:hint="eastAsia" w:ascii="仿宋" w:hAnsi="仿宋" w:eastAsia="仿宋" w:cs="仿宋"/>
          <w:sz w:val="32"/>
          <w:szCs w:val="32"/>
        </w:rPr>
        <w:t>按要求</w:t>
      </w:r>
      <w:r>
        <w:rPr>
          <w:rFonts w:hint="eastAsia" w:ascii="仿宋" w:hAnsi="仿宋" w:eastAsia="仿宋" w:cs="仿宋"/>
          <w:sz w:val="32"/>
          <w:szCs w:val="32"/>
          <w:lang w:eastAsia="zh-CN"/>
        </w:rPr>
        <w:t>完成了</w:t>
      </w:r>
      <w:r>
        <w:rPr>
          <w:rFonts w:hint="eastAsia" w:ascii="仿宋" w:hAnsi="仿宋" w:eastAsia="仿宋" w:cs="仿宋"/>
          <w:sz w:val="32"/>
          <w:szCs w:val="32"/>
        </w:rPr>
        <w:t>答复。被提起行政复议0起，被提起行政诉讼0起。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（三）政府信息管理方面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2020年，</w:t>
      </w:r>
      <w:r>
        <w:rPr>
          <w:rFonts w:hint="eastAsia" w:ascii="仿宋" w:hAnsi="仿宋" w:eastAsia="仿宋" w:cs="仿宋"/>
          <w:sz w:val="32"/>
          <w:szCs w:val="32"/>
          <w:lang w:eastAsia="zh-CN"/>
        </w:rPr>
        <w:t>淄博市陶琉轻纺产业发展中心从政府信息公开范围、主动公开信息、依申请公开信息、组织领导四个方面</w:t>
      </w:r>
      <w:r>
        <w:rPr>
          <w:rFonts w:hint="eastAsia" w:ascii="仿宋" w:hAnsi="仿宋" w:eastAsia="仿宋" w:cs="仿宋"/>
          <w:sz w:val="32"/>
          <w:szCs w:val="32"/>
        </w:rPr>
        <w:t>修订完善了政务信息公开工作制度</w:t>
      </w:r>
      <w:r>
        <w:rPr>
          <w:rFonts w:hint="eastAsia" w:ascii="仿宋" w:hAnsi="仿宋" w:eastAsia="仿宋" w:cs="仿宋"/>
          <w:sz w:val="32"/>
          <w:szCs w:val="32"/>
          <w:lang w:eastAsia="zh-CN"/>
        </w:rPr>
        <w:t>，从公开事项和内容、公开时限、公开方式、责任主体四个方面制定了</w:t>
      </w:r>
      <w:r>
        <w:rPr>
          <w:rFonts w:hint="eastAsia" w:ascii="仿宋" w:hAnsi="仿宋" w:eastAsia="仿宋" w:cs="仿宋"/>
          <w:sz w:val="32"/>
          <w:szCs w:val="32"/>
        </w:rPr>
        <w:t>政府信息主动公开基本目录</w:t>
      </w:r>
      <w:r>
        <w:rPr>
          <w:rFonts w:hint="eastAsia" w:ascii="仿宋" w:hAnsi="仿宋" w:eastAsia="仿宋" w:cs="仿宋"/>
          <w:sz w:val="32"/>
          <w:szCs w:val="32"/>
          <w:lang w:eastAsia="zh-CN"/>
        </w:rPr>
        <w:t>，编制了</w:t>
      </w:r>
      <w:r>
        <w:rPr>
          <w:rFonts w:hint="eastAsia" w:ascii="仿宋" w:hAnsi="仿宋" w:eastAsia="仿宋" w:cs="仿宋"/>
          <w:sz w:val="32"/>
          <w:szCs w:val="32"/>
        </w:rPr>
        <w:t>政府信息公开指南，明确了应该主动公开的政府信息和审查程序</w:t>
      </w:r>
      <w:r>
        <w:rPr>
          <w:rFonts w:hint="eastAsia" w:ascii="仿宋" w:hAnsi="仿宋" w:eastAsia="仿宋" w:cs="仿宋"/>
          <w:sz w:val="32"/>
          <w:szCs w:val="32"/>
          <w:lang w:eastAsia="zh-CN"/>
        </w:rPr>
        <w:t>，优化</w:t>
      </w:r>
      <w:r>
        <w:rPr>
          <w:rFonts w:hint="eastAsia" w:ascii="仿宋" w:hAnsi="仿宋" w:eastAsia="仿宋" w:cs="仿宋"/>
          <w:sz w:val="32"/>
          <w:szCs w:val="32"/>
        </w:rPr>
        <w:t>信息公开服务，</w:t>
      </w:r>
      <w:r>
        <w:rPr>
          <w:rFonts w:hint="eastAsia" w:ascii="仿宋" w:hAnsi="仿宋" w:eastAsia="仿宋" w:cs="仿宋"/>
          <w:sz w:val="32"/>
          <w:szCs w:val="32"/>
          <w:lang w:eastAsia="zh-CN"/>
        </w:rPr>
        <w:t>进一步提高主动公开工作标准化、规范化水平。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（四）平台建设方面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eastAsia="zh-CN"/>
        </w:rPr>
        <w:t>坚持</w:t>
      </w:r>
      <w:r>
        <w:rPr>
          <w:rFonts w:hint="eastAsia" w:ascii="仿宋" w:hAnsi="仿宋" w:eastAsia="仿宋" w:cs="仿宋"/>
          <w:sz w:val="32"/>
          <w:szCs w:val="32"/>
        </w:rPr>
        <w:t>把市政府网站作为信息公开的第一平台，根据年度公开要求，充实完善公开目录，</w:t>
      </w:r>
      <w:r>
        <w:rPr>
          <w:rFonts w:hint="eastAsia" w:ascii="仿宋" w:hAnsi="仿宋" w:eastAsia="仿宋" w:cs="仿宋"/>
          <w:sz w:val="32"/>
          <w:szCs w:val="32"/>
          <w:lang w:eastAsia="zh-CN"/>
        </w:rPr>
        <w:t>在</w:t>
      </w:r>
      <w:r>
        <w:rPr>
          <w:rFonts w:hint="eastAsia" w:ascii="仿宋" w:hAnsi="仿宋" w:eastAsia="仿宋" w:cs="仿宋"/>
          <w:sz w:val="32"/>
          <w:szCs w:val="32"/>
        </w:rPr>
        <w:t>淄博政务督查</w:t>
      </w:r>
      <w:r>
        <w:rPr>
          <w:rFonts w:hint="eastAsia" w:ascii="仿宋" w:hAnsi="仿宋" w:eastAsia="仿宋" w:cs="仿宋"/>
          <w:sz w:val="32"/>
          <w:szCs w:val="32"/>
          <w:lang w:eastAsia="zh-CN"/>
        </w:rPr>
        <w:t>、学习强国、淄博文明网平台各发布信息</w:t>
      </w:r>
      <w:r>
        <w:rPr>
          <w:rFonts w:hint="eastAsia" w:ascii="仿宋" w:hAnsi="仿宋" w:eastAsia="仿宋" w:cs="仿宋"/>
          <w:sz w:val="32"/>
          <w:szCs w:val="32"/>
          <w:lang w:val="en-US" w:eastAsia="zh-CN"/>
        </w:rPr>
        <w:t>8条、4条、10条，</w:t>
      </w:r>
      <w:r>
        <w:rPr>
          <w:rFonts w:hint="eastAsia" w:ascii="仿宋" w:hAnsi="仿宋" w:eastAsia="仿宋" w:cs="仿宋"/>
          <w:sz w:val="32"/>
          <w:szCs w:val="32"/>
          <w:lang w:eastAsia="zh-CN"/>
        </w:rPr>
        <w:t>实现了淄博市陶琉轻纺产业发展中心政务、党务、服务的全覆盖，进一步</w:t>
      </w:r>
      <w:r>
        <w:rPr>
          <w:rFonts w:hint="eastAsia" w:ascii="仿宋" w:hAnsi="仿宋" w:eastAsia="仿宋" w:cs="仿宋"/>
          <w:sz w:val="32"/>
          <w:szCs w:val="32"/>
        </w:rPr>
        <w:t>提高</w:t>
      </w:r>
      <w:r>
        <w:rPr>
          <w:rFonts w:hint="eastAsia" w:ascii="仿宋" w:hAnsi="仿宋" w:eastAsia="仿宋" w:cs="仿宋"/>
          <w:sz w:val="32"/>
          <w:szCs w:val="32"/>
          <w:lang w:eastAsia="zh-CN"/>
        </w:rPr>
        <w:t>信息</w:t>
      </w:r>
      <w:r>
        <w:rPr>
          <w:rFonts w:hint="eastAsia" w:ascii="仿宋" w:hAnsi="仿宋" w:eastAsia="仿宋" w:cs="仿宋"/>
          <w:sz w:val="32"/>
          <w:szCs w:val="32"/>
        </w:rPr>
        <w:t>公开质量。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（五）监督保障方面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是成立了以党组书记、主任赵鹏为组长的政务公开工作领导小组，明确领导小组成员和职责，将年度政务公开工作任务明确到科室和责任人。二是强化教育培训，积极参加市政府政务公开办举办的2次培训会议明确工作要求，组织政府信息公开工作培训1次，提升政务公开工作人员的业务能力。三是抓好检查考核，把政务公开工作作为落实淄博市委、市政府重大决策部署的重要工作抓紧抓实，每次党组会议、行政办公会议均专题检查，切实加大政务公开工作的统筹协调推进力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b/>
                <w:bCs/>
                <w:kern w:val="0"/>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信息内容</w:t>
            </w:r>
          </w:p>
        </w:tc>
        <w:tc>
          <w:tcPr>
            <w:tcW w:w="198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本年新制作数量</w:t>
            </w:r>
          </w:p>
        </w:tc>
        <w:tc>
          <w:tcPr>
            <w:tcW w:w="2030"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本年新公开数量</w:t>
            </w:r>
          </w:p>
        </w:tc>
        <w:tc>
          <w:tcPr>
            <w:tcW w:w="2222"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规章</w:t>
            </w:r>
          </w:p>
        </w:tc>
        <w:tc>
          <w:tcPr>
            <w:tcW w:w="198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2030"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2222"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规范性文件</w:t>
            </w:r>
          </w:p>
        </w:tc>
        <w:tc>
          <w:tcPr>
            <w:tcW w:w="198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2030"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2222"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b/>
                <w:bCs/>
                <w:kern w:val="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信息内容</w:t>
            </w:r>
          </w:p>
        </w:tc>
        <w:tc>
          <w:tcPr>
            <w:tcW w:w="198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上一年项目数量</w:t>
            </w:r>
          </w:p>
        </w:tc>
        <w:tc>
          <w:tcPr>
            <w:tcW w:w="2030"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本年增/减</w:t>
            </w:r>
          </w:p>
        </w:tc>
        <w:tc>
          <w:tcPr>
            <w:tcW w:w="2222"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行政许可</w:t>
            </w:r>
          </w:p>
        </w:tc>
        <w:tc>
          <w:tcPr>
            <w:tcW w:w="198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2030"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2222"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其他对外管理服务事项</w:t>
            </w:r>
          </w:p>
        </w:tc>
        <w:tc>
          <w:tcPr>
            <w:tcW w:w="198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2030"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2222"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b/>
                <w:bCs/>
                <w:kern w:val="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信息内容</w:t>
            </w:r>
          </w:p>
        </w:tc>
        <w:tc>
          <w:tcPr>
            <w:tcW w:w="198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上一年项目数量</w:t>
            </w:r>
          </w:p>
        </w:tc>
        <w:tc>
          <w:tcPr>
            <w:tcW w:w="2030"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本年增/减</w:t>
            </w:r>
          </w:p>
        </w:tc>
        <w:tc>
          <w:tcPr>
            <w:tcW w:w="2222"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行政处罚</w:t>
            </w:r>
          </w:p>
        </w:tc>
        <w:tc>
          <w:tcPr>
            <w:tcW w:w="198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2030"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2222"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行政强制</w:t>
            </w:r>
          </w:p>
        </w:tc>
        <w:tc>
          <w:tcPr>
            <w:tcW w:w="198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2030"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2222"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b/>
                <w:bCs/>
                <w:kern w:val="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信息内容</w:t>
            </w:r>
          </w:p>
        </w:tc>
        <w:tc>
          <w:tcPr>
            <w:tcW w:w="198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上一年项目数量</w:t>
            </w:r>
          </w:p>
        </w:tc>
        <w:tc>
          <w:tcPr>
            <w:tcW w:w="4252" w:type="dxa"/>
            <w:gridSpan w:val="2"/>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行政事业性收费</w:t>
            </w:r>
          </w:p>
        </w:tc>
        <w:tc>
          <w:tcPr>
            <w:tcW w:w="198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4252" w:type="dxa"/>
            <w:gridSpan w:val="2"/>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b/>
                <w:bCs/>
                <w:kern w:val="0"/>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信息内容</w:t>
            </w:r>
          </w:p>
        </w:tc>
        <w:tc>
          <w:tcPr>
            <w:tcW w:w="198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采购项目数量</w:t>
            </w:r>
          </w:p>
        </w:tc>
        <w:tc>
          <w:tcPr>
            <w:tcW w:w="4252" w:type="dxa"/>
            <w:gridSpan w:val="2"/>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政府集中采购</w:t>
            </w:r>
          </w:p>
        </w:tc>
        <w:tc>
          <w:tcPr>
            <w:tcW w:w="198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c>
          <w:tcPr>
            <w:tcW w:w="4252" w:type="dxa"/>
            <w:gridSpan w:val="2"/>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7"/>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416"/>
        <w:gridCol w:w="2693"/>
        <w:gridCol w:w="466"/>
        <w:gridCol w:w="667"/>
        <w:gridCol w:w="631"/>
        <w:gridCol w:w="643"/>
        <w:gridCol w:w="631"/>
        <w:gridCol w:w="607"/>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03" w:type="dxa"/>
            <w:gridSpan w:val="3"/>
            <w:vMerge w:val="restart"/>
            <w:vAlign w:val="center"/>
          </w:tcPr>
          <w:p>
            <w:pP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（本列数据的勾稽关系为：第一项加第二项之和，等于第三项加第四项之和）</w:t>
            </w:r>
          </w:p>
        </w:tc>
        <w:tc>
          <w:tcPr>
            <w:tcW w:w="4276" w:type="dxa"/>
            <w:gridSpan w:val="7"/>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703" w:type="dxa"/>
            <w:gridSpan w:val="3"/>
            <w:vMerge w:val="continue"/>
          </w:tcPr>
          <w:p>
            <w:pPr>
              <w:rPr>
                <w:rFonts w:ascii="Times New Roman" w:hAnsi="Times New Roman" w:eastAsia="宋体" w:cs="Times New Roman"/>
                <w:b/>
                <w:bCs/>
                <w:kern w:val="0"/>
                <w:sz w:val="20"/>
                <w:szCs w:val="20"/>
              </w:rPr>
            </w:pPr>
          </w:p>
        </w:tc>
        <w:tc>
          <w:tcPr>
            <w:tcW w:w="466" w:type="dxa"/>
            <w:vMerge w:val="restart"/>
            <w:vAlign w:val="center"/>
          </w:tcPr>
          <w:p>
            <w:pPr>
              <w:jc w:val="center"/>
              <w:rPr>
                <w:rFonts w:ascii="Times New Roman" w:hAnsi="Times New Roman" w:eastAsia="宋体" w:cs="Times New Roman"/>
                <w:b/>
                <w:bCs/>
                <w:kern w:val="0"/>
                <w:sz w:val="18"/>
                <w:szCs w:val="18"/>
              </w:rPr>
            </w:pPr>
            <w:r>
              <w:rPr>
                <w:rFonts w:hint="eastAsia" w:ascii="Times New Roman" w:hAnsi="Times New Roman" w:eastAsia="宋体" w:cs="Times New Roman"/>
                <w:b/>
                <w:bCs/>
                <w:kern w:val="0"/>
                <w:sz w:val="20"/>
                <w:szCs w:val="21"/>
              </w:rPr>
              <w:t>自然人</w:t>
            </w:r>
          </w:p>
        </w:tc>
        <w:tc>
          <w:tcPr>
            <w:tcW w:w="3179" w:type="dxa"/>
            <w:gridSpan w:val="5"/>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法人或其他组织</w:t>
            </w:r>
          </w:p>
        </w:tc>
        <w:tc>
          <w:tcPr>
            <w:tcW w:w="631" w:type="dxa"/>
            <w:vMerge w:val="restart"/>
            <w:vAlign w:val="center"/>
          </w:tcPr>
          <w:p>
            <w:pPr>
              <w:jc w:val="center"/>
              <w:rPr>
                <w:rFonts w:hint="eastAsia"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总</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703" w:type="dxa"/>
            <w:gridSpan w:val="3"/>
            <w:vMerge w:val="continue"/>
          </w:tcPr>
          <w:p>
            <w:pPr>
              <w:rPr>
                <w:rFonts w:ascii="Times New Roman" w:hAnsi="Times New Roman" w:eastAsia="宋体" w:cs="Times New Roman"/>
                <w:kern w:val="0"/>
                <w:sz w:val="20"/>
                <w:szCs w:val="20"/>
              </w:rPr>
            </w:pPr>
          </w:p>
        </w:tc>
        <w:tc>
          <w:tcPr>
            <w:tcW w:w="466" w:type="dxa"/>
            <w:vMerge w:val="continue"/>
          </w:tcPr>
          <w:p>
            <w:pPr>
              <w:rPr>
                <w:rFonts w:ascii="Times New Roman" w:hAnsi="Times New Roman" w:eastAsia="宋体" w:cs="Times New Roman"/>
                <w:kern w:val="0"/>
                <w:sz w:val="18"/>
                <w:szCs w:val="18"/>
              </w:rPr>
            </w:pPr>
          </w:p>
        </w:tc>
        <w:tc>
          <w:tcPr>
            <w:tcW w:w="667" w:type="dxa"/>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商业企业</w:t>
            </w:r>
          </w:p>
        </w:tc>
        <w:tc>
          <w:tcPr>
            <w:tcW w:w="631" w:type="dxa"/>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科研机构</w:t>
            </w:r>
          </w:p>
        </w:tc>
        <w:tc>
          <w:tcPr>
            <w:tcW w:w="643" w:type="dxa"/>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社会公益组织</w:t>
            </w:r>
          </w:p>
        </w:tc>
        <w:tc>
          <w:tcPr>
            <w:tcW w:w="631" w:type="dxa"/>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法律服务机构</w:t>
            </w:r>
          </w:p>
        </w:tc>
        <w:tc>
          <w:tcPr>
            <w:tcW w:w="607" w:type="dxa"/>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其他</w:t>
            </w:r>
          </w:p>
        </w:tc>
        <w:tc>
          <w:tcPr>
            <w:tcW w:w="631" w:type="dxa"/>
            <w:vMerge w:val="continue"/>
            <w:vAlign w:val="center"/>
          </w:tcPr>
          <w:p>
            <w:pP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703" w:type="dxa"/>
            <w:gridSpan w:val="3"/>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一、本年新收政府信息公开申请数量</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6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31"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43"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31"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0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31"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03" w:type="dxa"/>
            <w:gridSpan w:val="3"/>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二、上年结转政府信息公开申请数量</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94" w:type="dxa"/>
            <w:vMerge w:val="restart"/>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三、本年度办理结果</w:t>
            </w:r>
          </w:p>
        </w:tc>
        <w:tc>
          <w:tcPr>
            <w:tcW w:w="4109" w:type="dxa"/>
            <w:gridSpan w:val="2"/>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（一）予以公开</w:t>
            </w:r>
          </w:p>
        </w:tc>
        <w:tc>
          <w:tcPr>
            <w:tcW w:w="466" w:type="dxa"/>
            <w:vAlign w:val="center"/>
          </w:tcPr>
          <w:p>
            <w:pPr>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vMerge w:val="continue"/>
          </w:tcPr>
          <w:p>
            <w:pPr>
              <w:rPr>
                <w:rFonts w:ascii="Times New Roman" w:hAnsi="Times New Roman" w:eastAsia="宋体" w:cs="Times New Roman"/>
                <w:kern w:val="0"/>
                <w:sz w:val="20"/>
                <w:szCs w:val="20"/>
              </w:rPr>
            </w:pPr>
          </w:p>
        </w:tc>
        <w:tc>
          <w:tcPr>
            <w:tcW w:w="4109" w:type="dxa"/>
            <w:gridSpan w:val="2"/>
          </w:tcPr>
          <w:p>
            <w:pPr>
              <w:rPr>
                <w:rFonts w:ascii="宋体" w:hAnsi="宋体" w:eastAsia="宋体" w:cs="Times New Roman"/>
                <w:kern w:val="0"/>
                <w:sz w:val="18"/>
                <w:szCs w:val="18"/>
              </w:rPr>
            </w:pPr>
            <w:r>
              <w:rPr>
                <w:rFonts w:hint="eastAsia" w:ascii="宋体" w:hAnsi="宋体" w:eastAsia="宋体" w:cs="Times New Roman"/>
                <w:kern w:val="0"/>
                <w:sz w:val="18"/>
                <w:szCs w:val="18"/>
              </w:rPr>
              <w:t>（二）部分公开（区分处理的，只计这一情形，不计其他情形）</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94" w:type="dxa"/>
            <w:vMerge w:val="continue"/>
          </w:tcPr>
          <w:p>
            <w:pPr>
              <w:rPr>
                <w:rFonts w:ascii="Times New Roman" w:hAnsi="Times New Roman" w:eastAsia="宋体" w:cs="Times New Roman"/>
                <w:kern w:val="0"/>
                <w:sz w:val="20"/>
                <w:szCs w:val="20"/>
              </w:rPr>
            </w:pPr>
          </w:p>
        </w:tc>
        <w:tc>
          <w:tcPr>
            <w:tcW w:w="1416" w:type="dxa"/>
            <w:vMerge w:val="restart"/>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（三）不予公开</w:t>
            </w:r>
          </w:p>
        </w:tc>
        <w:tc>
          <w:tcPr>
            <w:tcW w:w="2693"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1</w:t>
            </w:r>
            <w:r>
              <w:rPr>
                <w:rFonts w:hint="eastAsia" w:ascii="宋体" w:hAnsi="宋体" w:eastAsia="宋体" w:cs="Times New Roman"/>
                <w:kern w:val="0"/>
                <w:sz w:val="18"/>
                <w:szCs w:val="18"/>
              </w:rPr>
              <w:t>．属于国家秘密</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94" w:type="dxa"/>
            <w:vMerge w:val="continue"/>
          </w:tcPr>
          <w:p>
            <w:pPr>
              <w:rPr>
                <w:rFonts w:ascii="Times New Roman" w:hAnsi="Times New Roman" w:eastAsia="宋体" w:cs="Times New Roman"/>
                <w:kern w:val="0"/>
                <w:sz w:val="20"/>
                <w:szCs w:val="20"/>
              </w:rPr>
            </w:pPr>
          </w:p>
        </w:tc>
        <w:tc>
          <w:tcPr>
            <w:tcW w:w="1416" w:type="dxa"/>
            <w:vMerge w:val="continue"/>
            <w:vAlign w:val="center"/>
          </w:tcPr>
          <w:p>
            <w:pPr>
              <w:rPr>
                <w:rFonts w:ascii="宋体" w:hAnsi="宋体" w:eastAsia="宋体" w:cs="Times New Roman"/>
                <w:kern w:val="0"/>
                <w:sz w:val="18"/>
                <w:szCs w:val="18"/>
              </w:rPr>
            </w:pPr>
          </w:p>
        </w:tc>
        <w:tc>
          <w:tcPr>
            <w:tcW w:w="2693"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2．其他法律行政法规禁止公开</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94" w:type="dxa"/>
            <w:vMerge w:val="continue"/>
          </w:tcPr>
          <w:p>
            <w:pPr>
              <w:rPr>
                <w:rFonts w:ascii="Times New Roman" w:hAnsi="Times New Roman" w:eastAsia="宋体" w:cs="Times New Roman"/>
                <w:kern w:val="0"/>
                <w:sz w:val="20"/>
                <w:szCs w:val="20"/>
              </w:rPr>
            </w:pPr>
          </w:p>
        </w:tc>
        <w:tc>
          <w:tcPr>
            <w:tcW w:w="1416" w:type="dxa"/>
            <w:vMerge w:val="continue"/>
            <w:vAlign w:val="center"/>
          </w:tcPr>
          <w:p>
            <w:pPr>
              <w:rPr>
                <w:rFonts w:ascii="Times New Roman" w:hAnsi="Times New Roman" w:eastAsia="宋体" w:cs="Times New Roman"/>
                <w:kern w:val="0"/>
                <w:sz w:val="18"/>
                <w:szCs w:val="18"/>
              </w:rPr>
            </w:pPr>
          </w:p>
        </w:tc>
        <w:tc>
          <w:tcPr>
            <w:tcW w:w="2693"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3．危及“三安全一稳定”</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94" w:type="dxa"/>
            <w:vMerge w:val="continue"/>
          </w:tcPr>
          <w:p>
            <w:pPr>
              <w:rPr>
                <w:rFonts w:ascii="Times New Roman" w:hAnsi="Times New Roman" w:eastAsia="宋体" w:cs="Times New Roman"/>
                <w:kern w:val="0"/>
                <w:sz w:val="20"/>
                <w:szCs w:val="20"/>
              </w:rPr>
            </w:pPr>
          </w:p>
        </w:tc>
        <w:tc>
          <w:tcPr>
            <w:tcW w:w="1416" w:type="dxa"/>
            <w:vMerge w:val="continue"/>
            <w:vAlign w:val="center"/>
          </w:tcPr>
          <w:p>
            <w:pPr>
              <w:rPr>
                <w:rFonts w:ascii="Times New Roman" w:hAnsi="Times New Roman" w:eastAsia="宋体" w:cs="Times New Roman"/>
                <w:kern w:val="0"/>
                <w:sz w:val="18"/>
                <w:szCs w:val="18"/>
              </w:rPr>
            </w:pPr>
          </w:p>
        </w:tc>
        <w:tc>
          <w:tcPr>
            <w:tcW w:w="2693"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4．保护第三方合法权益</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594" w:type="dxa"/>
            <w:vMerge w:val="continue"/>
          </w:tcPr>
          <w:p>
            <w:pPr>
              <w:rPr>
                <w:rFonts w:ascii="Times New Roman" w:hAnsi="Times New Roman" w:eastAsia="宋体" w:cs="Times New Roman"/>
                <w:kern w:val="0"/>
                <w:sz w:val="20"/>
                <w:szCs w:val="20"/>
              </w:rPr>
            </w:pPr>
          </w:p>
        </w:tc>
        <w:tc>
          <w:tcPr>
            <w:tcW w:w="1416" w:type="dxa"/>
            <w:vMerge w:val="continue"/>
            <w:vAlign w:val="center"/>
          </w:tcPr>
          <w:p>
            <w:pPr>
              <w:rPr>
                <w:rFonts w:ascii="Times New Roman" w:hAnsi="Times New Roman" w:eastAsia="宋体" w:cs="Times New Roman"/>
                <w:kern w:val="0"/>
                <w:sz w:val="18"/>
                <w:szCs w:val="18"/>
              </w:rPr>
            </w:pPr>
          </w:p>
        </w:tc>
        <w:tc>
          <w:tcPr>
            <w:tcW w:w="2693"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5．属于三类内部事务信息</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94" w:type="dxa"/>
            <w:vMerge w:val="continue"/>
          </w:tcPr>
          <w:p>
            <w:pPr>
              <w:rPr>
                <w:rFonts w:ascii="Times New Roman" w:hAnsi="Times New Roman" w:eastAsia="宋体" w:cs="Times New Roman"/>
                <w:kern w:val="0"/>
                <w:sz w:val="20"/>
                <w:szCs w:val="20"/>
              </w:rPr>
            </w:pPr>
          </w:p>
        </w:tc>
        <w:tc>
          <w:tcPr>
            <w:tcW w:w="1416" w:type="dxa"/>
            <w:vMerge w:val="continue"/>
            <w:vAlign w:val="center"/>
          </w:tcPr>
          <w:p>
            <w:pPr>
              <w:rPr>
                <w:rFonts w:ascii="Times New Roman" w:hAnsi="Times New Roman" w:eastAsia="宋体" w:cs="Times New Roman"/>
                <w:kern w:val="0"/>
                <w:sz w:val="18"/>
                <w:szCs w:val="18"/>
              </w:rPr>
            </w:pPr>
          </w:p>
        </w:tc>
        <w:tc>
          <w:tcPr>
            <w:tcW w:w="2693"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6．属于四类过程性信息</w:t>
            </w:r>
          </w:p>
        </w:tc>
        <w:tc>
          <w:tcPr>
            <w:tcW w:w="466" w:type="dxa"/>
            <w:vAlign w:val="center"/>
          </w:tcPr>
          <w:p>
            <w:pPr>
              <w:jc w:val="cente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94" w:type="dxa"/>
            <w:vMerge w:val="continue"/>
          </w:tcPr>
          <w:p>
            <w:pPr>
              <w:rPr>
                <w:rFonts w:ascii="Times New Roman" w:hAnsi="Times New Roman" w:eastAsia="宋体" w:cs="Times New Roman"/>
                <w:kern w:val="0"/>
                <w:sz w:val="20"/>
                <w:szCs w:val="20"/>
              </w:rPr>
            </w:pPr>
          </w:p>
        </w:tc>
        <w:tc>
          <w:tcPr>
            <w:tcW w:w="1416" w:type="dxa"/>
            <w:vMerge w:val="continue"/>
            <w:vAlign w:val="center"/>
          </w:tcPr>
          <w:p>
            <w:pPr>
              <w:rPr>
                <w:rFonts w:ascii="Times New Roman" w:hAnsi="Times New Roman" w:eastAsia="宋体" w:cs="Times New Roman"/>
                <w:kern w:val="0"/>
                <w:sz w:val="18"/>
                <w:szCs w:val="18"/>
              </w:rPr>
            </w:pPr>
          </w:p>
        </w:tc>
        <w:tc>
          <w:tcPr>
            <w:tcW w:w="2693"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7．属于行政执法案卷</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94" w:type="dxa"/>
            <w:vMerge w:val="continue"/>
          </w:tcPr>
          <w:p>
            <w:pPr>
              <w:rPr>
                <w:rFonts w:ascii="Times New Roman" w:hAnsi="Times New Roman" w:eastAsia="宋体" w:cs="Times New Roman"/>
                <w:kern w:val="0"/>
                <w:sz w:val="20"/>
                <w:szCs w:val="20"/>
              </w:rPr>
            </w:pPr>
          </w:p>
        </w:tc>
        <w:tc>
          <w:tcPr>
            <w:tcW w:w="1416" w:type="dxa"/>
            <w:vMerge w:val="continue"/>
            <w:vAlign w:val="center"/>
          </w:tcPr>
          <w:p>
            <w:pPr>
              <w:rPr>
                <w:rFonts w:ascii="Times New Roman" w:hAnsi="Times New Roman" w:eastAsia="宋体" w:cs="Times New Roman"/>
                <w:kern w:val="0"/>
                <w:sz w:val="18"/>
                <w:szCs w:val="18"/>
              </w:rPr>
            </w:pPr>
          </w:p>
        </w:tc>
        <w:tc>
          <w:tcPr>
            <w:tcW w:w="2693"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8．属于行政查询事项</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94" w:type="dxa"/>
            <w:vMerge w:val="continue"/>
          </w:tcPr>
          <w:p>
            <w:pPr>
              <w:rPr>
                <w:rFonts w:ascii="Times New Roman" w:hAnsi="Times New Roman" w:eastAsia="宋体" w:cs="Times New Roman"/>
                <w:kern w:val="0"/>
                <w:sz w:val="20"/>
                <w:szCs w:val="20"/>
              </w:rPr>
            </w:pPr>
          </w:p>
        </w:tc>
        <w:tc>
          <w:tcPr>
            <w:tcW w:w="1416"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（四）无法提供</w:t>
            </w:r>
          </w:p>
        </w:tc>
        <w:tc>
          <w:tcPr>
            <w:tcW w:w="2693"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1．本机关不掌握相关政府信息</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594" w:type="dxa"/>
            <w:vMerge w:val="continue"/>
          </w:tcPr>
          <w:p>
            <w:pPr>
              <w:rPr>
                <w:rFonts w:ascii="Times New Roman" w:hAnsi="Times New Roman" w:eastAsia="宋体" w:cs="Times New Roman"/>
                <w:kern w:val="0"/>
                <w:sz w:val="20"/>
                <w:szCs w:val="20"/>
              </w:rPr>
            </w:pPr>
          </w:p>
        </w:tc>
        <w:tc>
          <w:tcPr>
            <w:tcW w:w="1416" w:type="dxa"/>
            <w:vMerge w:val="continue"/>
            <w:vAlign w:val="center"/>
          </w:tcPr>
          <w:p>
            <w:pPr>
              <w:rPr>
                <w:rFonts w:ascii="Times New Roman" w:hAnsi="Times New Roman" w:eastAsia="宋体" w:cs="Times New Roman"/>
                <w:kern w:val="0"/>
                <w:sz w:val="18"/>
                <w:szCs w:val="18"/>
              </w:rPr>
            </w:pPr>
          </w:p>
        </w:tc>
        <w:tc>
          <w:tcPr>
            <w:tcW w:w="2693"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2．没有现成信息需要另行制作</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vMerge w:val="continue"/>
          </w:tcPr>
          <w:p>
            <w:pPr>
              <w:rPr>
                <w:rFonts w:ascii="Times New Roman" w:hAnsi="Times New Roman" w:eastAsia="宋体" w:cs="Times New Roman"/>
                <w:kern w:val="0"/>
                <w:sz w:val="20"/>
                <w:szCs w:val="20"/>
              </w:rPr>
            </w:pPr>
          </w:p>
        </w:tc>
        <w:tc>
          <w:tcPr>
            <w:tcW w:w="1416" w:type="dxa"/>
            <w:vMerge w:val="continue"/>
            <w:vAlign w:val="center"/>
          </w:tcPr>
          <w:p>
            <w:pPr>
              <w:rPr>
                <w:rFonts w:ascii="Times New Roman" w:hAnsi="Times New Roman" w:eastAsia="宋体" w:cs="Times New Roman"/>
                <w:kern w:val="0"/>
                <w:sz w:val="18"/>
                <w:szCs w:val="18"/>
              </w:rPr>
            </w:pPr>
          </w:p>
        </w:tc>
        <w:tc>
          <w:tcPr>
            <w:tcW w:w="2693"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3．补正后申请内容仍不明确</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94" w:type="dxa"/>
            <w:vMerge w:val="continue"/>
          </w:tcPr>
          <w:p>
            <w:pPr>
              <w:rPr>
                <w:rFonts w:ascii="Times New Roman" w:hAnsi="Times New Roman" w:eastAsia="宋体" w:cs="Times New Roman"/>
                <w:kern w:val="0"/>
                <w:sz w:val="20"/>
                <w:szCs w:val="20"/>
              </w:rPr>
            </w:pPr>
          </w:p>
        </w:tc>
        <w:tc>
          <w:tcPr>
            <w:tcW w:w="1416"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（五）</w:t>
            </w:r>
            <w:r>
              <w:rPr>
                <w:rFonts w:hint="eastAsia" w:ascii="宋体" w:hAnsi="宋体" w:eastAsia="宋体" w:cs="Times New Roman"/>
                <w:kern w:val="0"/>
                <w:sz w:val="18"/>
                <w:szCs w:val="18"/>
              </w:rPr>
              <w:t>不予处理</w:t>
            </w:r>
          </w:p>
        </w:tc>
        <w:tc>
          <w:tcPr>
            <w:tcW w:w="2693"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1．信访举报投诉类申请</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vMerge w:val="continue"/>
          </w:tcPr>
          <w:p>
            <w:pPr>
              <w:rPr>
                <w:rFonts w:ascii="Times New Roman" w:hAnsi="Times New Roman" w:eastAsia="宋体" w:cs="Times New Roman"/>
                <w:kern w:val="0"/>
                <w:sz w:val="20"/>
                <w:szCs w:val="20"/>
              </w:rPr>
            </w:pPr>
          </w:p>
        </w:tc>
        <w:tc>
          <w:tcPr>
            <w:tcW w:w="1416" w:type="dxa"/>
            <w:vMerge w:val="continue"/>
          </w:tcPr>
          <w:p>
            <w:pPr>
              <w:rPr>
                <w:rFonts w:ascii="Times New Roman" w:hAnsi="Times New Roman" w:eastAsia="宋体" w:cs="Times New Roman"/>
                <w:kern w:val="0"/>
                <w:sz w:val="20"/>
                <w:szCs w:val="20"/>
              </w:rPr>
            </w:pPr>
          </w:p>
        </w:tc>
        <w:tc>
          <w:tcPr>
            <w:tcW w:w="2693"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2．重复申请</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94" w:type="dxa"/>
            <w:vMerge w:val="continue"/>
          </w:tcPr>
          <w:p>
            <w:pPr>
              <w:rPr>
                <w:rFonts w:ascii="Times New Roman" w:hAnsi="Times New Roman" w:eastAsia="宋体" w:cs="Times New Roman"/>
                <w:kern w:val="0"/>
                <w:sz w:val="20"/>
                <w:szCs w:val="20"/>
              </w:rPr>
            </w:pPr>
          </w:p>
        </w:tc>
        <w:tc>
          <w:tcPr>
            <w:tcW w:w="1416" w:type="dxa"/>
            <w:vMerge w:val="continue"/>
          </w:tcPr>
          <w:p>
            <w:pPr>
              <w:rPr>
                <w:rFonts w:ascii="Times New Roman" w:hAnsi="Times New Roman" w:eastAsia="宋体" w:cs="Times New Roman"/>
                <w:kern w:val="0"/>
                <w:sz w:val="20"/>
                <w:szCs w:val="20"/>
              </w:rPr>
            </w:pPr>
          </w:p>
        </w:tc>
        <w:tc>
          <w:tcPr>
            <w:tcW w:w="2693"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3</w:t>
            </w:r>
            <w:r>
              <w:rPr>
                <w:rFonts w:hint="eastAsia" w:ascii="宋体" w:hAnsi="宋体" w:eastAsia="宋体" w:cs="Times New Roman"/>
                <w:kern w:val="0"/>
                <w:sz w:val="18"/>
                <w:szCs w:val="18"/>
              </w:rPr>
              <w:t>．要求提供公开出版物</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94" w:type="dxa"/>
            <w:vMerge w:val="continue"/>
          </w:tcPr>
          <w:p>
            <w:pPr>
              <w:rPr>
                <w:rFonts w:ascii="Times New Roman" w:hAnsi="Times New Roman" w:eastAsia="宋体" w:cs="Times New Roman"/>
                <w:kern w:val="0"/>
                <w:sz w:val="20"/>
                <w:szCs w:val="20"/>
              </w:rPr>
            </w:pPr>
          </w:p>
        </w:tc>
        <w:tc>
          <w:tcPr>
            <w:tcW w:w="1416" w:type="dxa"/>
            <w:vMerge w:val="continue"/>
          </w:tcPr>
          <w:p>
            <w:pPr>
              <w:rPr>
                <w:rFonts w:ascii="Times New Roman" w:hAnsi="Times New Roman" w:eastAsia="宋体" w:cs="Times New Roman"/>
                <w:kern w:val="0"/>
                <w:sz w:val="20"/>
                <w:szCs w:val="20"/>
              </w:rPr>
            </w:pPr>
          </w:p>
        </w:tc>
        <w:tc>
          <w:tcPr>
            <w:tcW w:w="2693"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4．无正当理由大量反复申请</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vMerge w:val="continue"/>
          </w:tcPr>
          <w:p>
            <w:pPr>
              <w:rPr>
                <w:rFonts w:ascii="Times New Roman" w:hAnsi="Times New Roman" w:eastAsia="宋体" w:cs="Times New Roman"/>
                <w:kern w:val="0"/>
                <w:sz w:val="20"/>
                <w:szCs w:val="20"/>
              </w:rPr>
            </w:pPr>
          </w:p>
        </w:tc>
        <w:tc>
          <w:tcPr>
            <w:tcW w:w="1416" w:type="dxa"/>
            <w:vMerge w:val="continue"/>
          </w:tcPr>
          <w:p>
            <w:pPr>
              <w:rPr>
                <w:rFonts w:ascii="Times New Roman" w:hAnsi="Times New Roman" w:eastAsia="宋体" w:cs="Times New Roman"/>
                <w:kern w:val="0"/>
                <w:sz w:val="20"/>
                <w:szCs w:val="20"/>
              </w:rPr>
            </w:pPr>
          </w:p>
        </w:tc>
        <w:tc>
          <w:tcPr>
            <w:tcW w:w="2693" w:type="dxa"/>
            <w:vAlign w:val="center"/>
          </w:tcPr>
          <w:p>
            <w:pPr>
              <w:ind w:left="180" w:hanging="180" w:hangingChars="100"/>
              <w:rPr>
                <w:rFonts w:ascii="宋体" w:hAnsi="宋体" w:eastAsia="宋体" w:cs="Times New Roman"/>
                <w:kern w:val="0"/>
                <w:sz w:val="18"/>
                <w:szCs w:val="18"/>
              </w:rPr>
            </w:pPr>
            <w:r>
              <w:rPr>
                <w:rFonts w:hint="eastAsia" w:ascii="宋体" w:hAnsi="宋体" w:eastAsia="宋体" w:cs="Times New Roman"/>
                <w:kern w:val="0"/>
                <w:sz w:val="18"/>
                <w:szCs w:val="18"/>
              </w:rPr>
              <w:t>5．要求行政机关确认或重新出具已获取信息</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94" w:type="dxa"/>
          </w:tcPr>
          <w:p>
            <w:pPr>
              <w:rPr>
                <w:rFonts w:ascii="Times New Roman" w:hAnsi="Times New Roman" w:eastAsia="宋体" w:cs="Times New Roman"/>
                <w:kern w:val="0"/>
                <w:sz w:val="20"/>
                <w:szCs w:val="20"/>
              </w:rPr>
            </w:pPr>
          </w:p>
        </w:tc>
        <w:tc>
          <w:tcPr>
            <w:tcW w:w="4109"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（六）其他处理</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94" w:type="dxa"/>
          </w:tcPr>
          <w:p>
            <w:pPr>
              <w:rPr>
                <w:rFonts w:ascii="Times New Roman" w:hAnsi="Times New Roman" w:eastAsia="宋体" w:cs="Times New Roman"/>
                <w:kern w:val="0"/>
                <w:sz w:val="20"/>
                <w:szCs w:val="20"/>
              </w:rPr>
            </w:pPr>
          </w:p>
        </w:tc>
        <w:tc>
          <w:tcPr>
            <w:tcW w:w="4109"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（七）总计</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703" w:type="dxa"/>
            <w:gridSpan w:val="3"/>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四、结转下年度继续办理</w:t>
            </w:r>
          </w:p>
        </w:tc>
        <w:tc>
          <w:tcPr>
            <w:tcW w:w="46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6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4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07"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63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7"/>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655"/>
        <w:gridCol w:w="631"/>
        <w:gridCol w:w="652"/>
        <w:gridCol w:w="414"/>
        <w:gridCol w:w="679"/>
        <w:gridCol w:w="774"/>
        <w:gridCol w:w="714"/>
        <w:gridCol w:w="667"/>
        <w:gridCol w:w="435"/>
        <w:gridCol w:w="634"/>
        <w:gridCol w:w="655"/>
        <w:gridCol w:w="631"/>
        <w:gridCol w:w="666"/>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004" w:type="dxa"/>
            <w:gridSpan w:val="5"/>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行政复议</w:t>
            </w:r>
          </w:p>
        </w:tc>
        <w:tc>
          <w:tcPr>
            <w:tcW w:w="6277" w:type="dxa"/>
            <w:gridSpan w:val="10"/>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52" w:type="dxa"/>
            <w:vMerge w:val="restart"/>
            <w:vAlign w:val="center"/>
          </w:tcPr>
          <w:p>
            <w:pPr>
              <w:jc w:val="center"/>
              <w:rPr>
                <w:rFonts w:hint="eastAsia"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结果</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维持</w:t>
            </w:r>
          </w:p>
        </w:tc>
        <w:tc>
          <w:tcPr>
            <w:tcW w:w="655" w:type="dxa"/>
            <w:vMerge w:val="restart"/>
            <w:vAlign w:val="center"/>
          </w:tcPr>
          <w:p>
            <w:pPr>
              <w:jc w:val="center"/>
              <w:rPr>
                <w:rFonts w:hint="eastAsia"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结果</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纠正</w:t>
            </w:r>
          </w:p>
        </w:tc>
        <w:tc>
          <w:tcPr>
            <w:tcW w:w="631" w:type="dxa"/>
            <w:vMerge w:val="restart"/>
            <w:vAlign w:val="center"/>
          </w:tcPr>
          <w:p>
            <w:pPr>
              <w:jc w:val="center"/>
              <w:rPr>
                <w:rFonts w:hint="eastAsia"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其他</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结果</w:t>
            </w:r>
          </w:p>
        </w:tc>
        <w:tc>
          <w:tcPr>
            <w:tcW w:w="652" w:type="dxa"/>
            <w:vMerge w:val="restart"/>
            <w:vAlign w:val="center"/>
          </w:tcPr>
          <w:p>
            <w:pPr>
              <w:jc w:val="center"/>
              <w:rPr>
                <w:rFonts w:hint="eastAsia"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尚未</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审结</w:t>
            </w:r>
          </w:p>
        </w:tc>
        <w:tc>
          <w:tcPr>
            <w:tcW w:w="414" w:type="dxa"/>
            <w:vMerge w:val="restart"/>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总计</w:t>
            </w:r>
          </w:p>
        </w:tc>
        <w:tc>
          <w:tcPr>
            <w:tcW w:w="3269" w:type="dxa"/>
            <w:gridSpan w:val="5"/>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未经复议直接起诉</w:t>
            </w:r>
          </w:p>
        </w:tc>
        <w:tc>
          <w:tcPr>
            <w:tcW w:w="3008" w:type="dxa"/>
            <w:gridSpan w:val="5"/>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Merge w:val="continue"/>
            <w:vAlign w:val="center"/>
          </w:tcPr>
          <w:p>
            <w:pPr>
              <w:jc w:val="center"/>
              <w:rPr>
                <w:rFonts w:ascii="Times New Roman" w:hAnsi="Times New Roman" w:eastAsia="宋体" w:cs="Times New Roman"/>
                <w:b/>
                <w:bCs/>
                <w:kern w:val="0"/>
                <w:sz w:val="18"/>
                <w:szCs w:val="18"/>
              </w:rPr>
            </w:pPr>
          </w:p>
        </w:tc>
        <w:tc>
          <w:tcPr>
            <w:tcW w:w="655" w:type="dxa"/>
            <w:vMerge w:val="continue"/>
            <w:vAlign w:val="center"/>
          </w:tcPr>
          <w:p>
            <w:pPr>
              <w:jc w:val="center"/>
              <w:rPr>
                <w:rFonts w:ascii="Times New Roman" w:hAnsi="Times New Roman" w:eastAsia="宋体" w:cs="Times New Roman"/>
                <w:b/>
                <w:bCs/>
                <w:kern w:val="0"/>
                <w:sz w:val="18"/>
                <w:szCs w:val="18"/>
              </w:rPr>
            </w:pPr>
          </w:p>
        </w:tc>
        <w:tc>
          <w:tcPr>
            <w:tcW w:w="631" w:type="dxa"/>
            <w:vMerge w:val="continue"/>
            <w:vAlign w:val="center"/>
          </w:tcPr>
          <w:p>
            <w:pPr>
              <w:jc w:val="center"/>
              <w:rPr>
                <w:rFonts w:ascii="Times New Roman" w:hAnsi="Times New Roman" w:eastAsia="宋体" w:cs="Times New Roman"/>
                <w:b/>
                <w:bCs/>
                <w:kern w:val="0"/>
                <w:sz w:val="18"/>
                <w:szCs w:val="18"/>
              </w:rPr>
            </w:pPr>
          </w:p>
        </w:tc>
        <w:tc>
          <w:tcPr>
            <w:tcW w:w="652" w:type="dxa"/>
            <w:vMerge w:val="continue"/>
            <w:vAlign w:val="center"/>
          </w:tcPr>
          <w:p>
            <w:pPr>
              <w:jc w:val="center"/>
              <w:rPr>
                <w:rFonts w:ascii="Times New Roman" w:hAnsi="Times New Roman" w:eastAsia="宋体" w:cs="Times New Roman"/>
                <w:b/>
                <w:bCs/>
                <w:kern w:val="0"/>
                <w:sz w:val="20"/>
                <w:szCs w:val="21"/>
              </w:rPr>
            </w:pPr>
          </w:p>
        </w:tc>
        <w:tc>
          <w:tcPr>
            <w:tcW w:w="414" w:type="dxa"/>
            <w:vMerge w:val="continue"/>
            <w:vAlign w:val="center"/>
          </w:tcPr>
          <w:p>
            <w:pPr>
              <w:jc w:val="center"/>
              <w:rPr>
                <w:rFonts w:ascii="Times New Roman" w:hAnsi="Times New Roman" w:eastAsia="宋体" w:cs="Times New Roman"/>
                <w:b/>
                <w:bCs/>
                <w:kern w:val="0"/>
                <w:sz w:val="20"/>
                <w:szCs w:val="21"/>
              </w:rPr>
            </w:pPr>
          </w:p>
        </w:tc>
        <w:tc>
          <w:tcPr>
            <w:tcW w:w="679" w:type="dxa"/>
            <w:vAlign w:val="center"/>
          </w:tcPr>
          <w:p>
            <w:pPr>
              <w:jc w:val="center"/>
              <w:rPr>
                <w:rFonts w:hint="eastAsia"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结果</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维持</w:t>
            </w:r>
          </w:p>
        </w:tc>
        <w:tc>
          <w:tcPr>
            <w:tcW w:w="774" w:type="dxa"/>
            <w:vAlign w:val="center"/>
          </w:tcPr>
          <w:p>
            <w:pPr>
              <w:jc w:val="center"/>
              <w:rPr>
                <w:rFonts w:hint="eastAsia"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结果</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纠正</w:t>
            </w:r>
          </w:p>
        </w:tc>
        <w:tc>
          <w:tcPr>
            <w:tcW w:w="714" w:type="dxa"/>
            <w:vAlign w:val="center"/>
          </w:tcPr>
          <w:p>
            <w:pPr>
              <w:jc w:val="center"/>
              <w:rPr>
                <w:rFonts w:hint="eastAsia"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其他</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结果</w:t>
            </w:r>
          </w:p>
        </w:tc>
        <w:tc>
          <w:tcPr>
            <w:tcW w:w="667" w:type="dxa"/>
            <w:vAlign w:val="center"/>
          </w:tcPr>
          <w:p>
            <w:pPr>
              <w:jc w:val="center"/>
              <w:rPr>
                <w:rFonts w:hint="eastAsia"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尚未</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审结</w:t>
            </w:r>
          </w:p>
        </w:tc>
        <w:tc>
          <w:tcPr>
            <w:tcW w:w="435" w:type="dxa"/>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总计</w:t>
            </w:r>
          </w:p>
        </w:tc>
        <w:tc>
          <w:tcPr>
            <w:tcW w:w="634" w:type="dxa"/>
            <w:vAlign w:val="center"/>
          </w:tcPr>
          <w:p>
            <w:pPr>
              <w:jc w:val="center"/>
              <w:rPr>
                <w:rFonts w:hint="eastAsia"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结果</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维持</w:t>
            </w:r>
          </w:p>
        </w:tc>
        <w:tc>
          <w:tcPr>
            <w:tcW w:w="655" w:type="dxa"/>
            <w:vAlign w:val="center"/>
          </w:tcPr>
          <w:p>
            <w:pPr>
              <w:jc w:val="center"/>
              <w:rPr>
                <w:rFonts w:hint="eastAsia"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结果</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纠正</w:t>
            </w:r>
          </w:p>
        </w:tc>
        <w:tc>
          <w:tcPr>
            <w:tcW w:w="631" w:type="dxa"/>
            <w:vAlign w:val="center"/>
          </w:tcPr>
          <w:p>
            <w:pPr>
              <w:jc w:val="center"/>
              <w:rPr>
                <w:rFonts w:hint="eastAsia"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其他</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结果</w:t>
            </w:r>
          </w:p>
        </w:tc>
        <w:tc>
          <w:tcPr>
            <w:tcW w:w="666" w:type="dxa"/>
            <w:vAlign w:val="center"/>
          </w:tcPr>
          <w:p>
            <w:pPr>
              <w:jc w:val="center"/>
              <w:rPr>
                <w:rFonts w:hint="eastAsia"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尚未</w:t>
            </w:r>
          </w:p>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审结</w:t>
            </w:r>
          </w:p>
        </w:tc>
        <w:tc>
          <w:tcPr>
            <w:tcW w:w="422" w:type="dxa"/>
            <w:vAlign w:val="center"/>
          </w:tcPr>
          <w:p>
            <w:pPr>
              <w:jc w:val="center"/>
              <w:rPr>
                <w:rFonts w:ascii="Times New Roman" w:hAnsi="Times New Roman" w:eastAsia="宋体" w:cs="Times New Roman"/>
                <w:b/>
                <w:bCs/>
                <w:kern w:val="0"/>
                <w:sz w:val="20"/>
                <w:szCs w:val="21"/>
              </w:rPr>
            </w:pPr>
            <w:r>
              <w:rPr>
                <w:rFonts w:hint="eastAsia" w:ascii="Times New Roman" w:hAnsi="Times New Roman" w:eastAsia="宋体" w:cs="Times New Roman"/>
                <w:b/>
                <w:bCs/>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52" w:type="dxa"/>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655" w:type="dxa"/>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631" w:type="dxa"/>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652"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414"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7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74"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14"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435"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34"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55"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31"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66"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422"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淄博市陶琉轻纺产业发展中心做到了政府信息主动公开，在公开质量上仍然存在一些问题。主要表现在：一是信息公开的目录设置不够优化，涵盖内容版块不全面。二是对标学习能力有待提高，没有积极主动吸收国内其他地区政务公开工作的先进经验做法。三是政务公开稿件质量有待进一步提高，信息员还没有形成提炼总结针对性、创新性、可推广性高质量稿件的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2021年，在全市深化事业单位改革的基础上，进一步完善工作机制，不断提升政务公开意识，提高政务公开质量。一是对照先进查找不足，</w:t>
      </w:r>
      <w:r>
        <w:rPr>
          <w:rFonts w:hint="eastAsia" w:ascii="仿宋" w:hAnsi="仿宋" w:eastAsia="仿宋" w:cs="仿宋"/>
          <w:sz w:val="32"/>
          <w:szCs w:val="32"/>
        </w:rPr>
        <w:t>不断丰富政务信息公开内容，完善信息公开目录，创新公开形式</w:t>
      </w:r>
      <w:r>
        <w:rPr>
          <w:rFonts w:hint="eastAsia" w:ascii="仿宋" w:hAnsi="仿宋" w:eastAsia="仿宋" w:cs="仿宋"/>
          <w:sz w:val="32"/>
          <w:szCs w:val="32"/>
          <w:lang w:eastAsia="zh-CN"/>
        </w:rPr>
        <w:t>，</w:t>
      </w:r>
      <w:r>
        <w:rPr>
          <w:rFonts w:hint="eastAsia" w:ascii="仿宋" w:hAnsi="仿宋" w:eastAsia="仿宋" w:cs="仿宋"/>
          <w:sz w:val="32"/>
          <w:szCs w:val="32"/>
        </w:rPr>
        <w:t>让信息查询更加便利快捷。</w:t>
      </w:r>
      <w:r>
        <w:rPr>
          <w:rFonts w:hint="eastAsia" w:ascii="仿宋" w:hAnsi="仿宋" w:eastAsia="仿宋" w:cs="仿宋"/>
          <w:sz w:val="32"/>
          <w:szCs w:val="32"/>
          <w:lang w:eastAsia="zh-CN"/>
        </w:rPr>
        <w:t>二是</w:t>
      </w:r>
      <w:r>
        <w:rPr>
          <w:rFonts w:hint="eastAsia" w:ascii="仿宋" w:hAnsi="仿宋" w:eastAsia="仿宋" w:cs="仿宋"/>
          <w:sz w:val="32"/>
          <w:szCs w:val="32"/>
          <w:lang w:val="en-US" w:eastAsia="zh-CN"/>
        </w:rPr>
        <w:t>组织政务公开培训，进一步强化对政务公开工作措施、经验做法、成果成效的总结能力。三是进一步完善机制，</w:t>
      </w:r>
      <w:r>
        <w:rPr>
          <w:rFonts w:hint="eastAsia" w:ascii="仿宋" w:hAnsi="仿宋" w:eastAsia="仿宋" w:cs="仿宋"/>
          <w:sz w:val="32"/>
          <w:szCs w:val="32"/>
        </w:rPr>
        <w:t>明确责任分工</w:t>
      </w:r>
      <w:r>
        <w:rPr>
          <w:rFonts w:hint="eastAsia" w:ascii="仿宋" w:hAnsi="仿宋" w:eastAsia="仿宋" w:cs="仿宋"/>
          <w:sz w:val="32"/>
          <w:szCs w:val="32"/>
          <w:lang w:eastAsia="zh-CN"/>
        </w:rPr>
        <w:t>，</w:t>
      </w:r>
      <w:r>
        <w:rPr>
          <w:rFonts w:hint="eastAsia" w:ascii="仿宋" w:hAnsi="仿宋" w:eastAsia="仿宋" w:cs="仿宋"/>
          <w:sz w:val="32"/>
          <w:szCs w:val="32"/>
        </w:rPr>
        <w:t>强化责任意识，提高采集业务数据的实效性、规范性，及时更新信息内容、提高信息公开工作质量。</w:t>
      </w:r>
      <w:r>
        <w:rPr>
          <w:rFonts w:hint="eastAsia" w:ascii="仿宋" w:hAnsi="仿宋" w:eastAsia="仿宋" w:cs="仿宋"/>
          <w:sz w:val="32"/>
          <w:szCs w:val="32"/>
          <w:lang w:eastAsia="zh-CN"/>
        </w:rPr>
        <w:t>四</w:t>
      </w:r>
      <w:r>
        <w:rPr>
          <w:rFonts w:hint="eastAsia" w:ascii="仿宋" w:hAnsi="仿宋" w:eastAsia="仿宋" w:cs="仿宋"/>
          <w:sz w:val="32"/>
          <w:szCs w:val="32"/>
          <w:lang w:val="en-US" w:eastAsia="zh-CN"/>
        </w:rPr>
        <w:t>是发挥信息公开延展作用</w:t>
      </w:r>
      <w:r>
        <w:rPr>
          <w:rFonts w:hint="eastAsia" w:ascii="仿宋" w:hAnsi="仿宋" w:eastAsia="仿宋" w:cs="仿宋"/>
          <w:sz w:val="32"/>
          <w:szCs w:val="32"/>
        </w:rPr>
        <w:t>，把信息公开工作与日常工作相结合，发挥平台交流互动和信息资料库作用</w:t>
      </w:r>
      <w:r>
        <w:rPr>
          <w:rFonts w:hint="eastAsia" w:ascii="仿宋" w:hAnsi="仿宋" w:eastAsia="仿宋" w:cs="仿宋"/>
          <w:sz w:val="32"/>
          <w:szCs w:val="32"/>
          <w:lang w:eastAsia="zh-CN"/>
        </w:rPr>
        <w:t>，</w:t>
      </w:r>
      <w:r>
        <w:rPr>
          <w:rFonts w:hint="eastAsia" w:ascii="仿宋" w:hAnsi="仿宋" w:eastAsia="仿宋" w:cs="仿宋"/>
          <w:sz w:val="32"/>
          <w:szCs w:val="32"/>
        </w:rPr>
        <w:t>以信息公开促进群众监督参与，切实维护公众的知情权、参与权和监督权。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无。</w:t>
      </w:r>
    </w:p>
    <w:p>
      <w:pPr>
        <w:ind w:firstLine="636"/>
        <w:rPr>
          <w:rFonts w:ascii="仿宋" w:hAnsi="仿宋" w:eastAsia="仿宋"/>
          <w:sz w:val="32"/>
          <w:szCs w:val="32"/>
        </w:rPr>
      </w:pPr>
      <w:r>
        <w:rPr>
          <w:rFonts w:hint="eastAsia" w:ascii="宋体" w:hAnsi="宋体" w:eastAsia="宋体" w:cs="宋体"/>
          <w:sz w:val="32"/>
          <w:szCs w:val="32"/>
        </w:rPr>
        <w:t> </w:t>
      </w:r>
    </w:p>
    <w:p>
      <w:pPr>
        <w:ind w:firstLine="636"/>
        <w:rPr>
          <w:rFonts w:ascii="仿宋" w:hAnsi="仿宋" w:eastAsia="仿宋"/>
          <w:sz w:val="32"/>
          <w:szCs w:val="32"/>
        </w:rPr>
      </w:pPr>
      <w:r>
        <w:rPr>
          <w:rFonts w:hint="eastAsia" w:ascii="宋体" w:hAnsi="宋体" w:eastAsia="宋体" w:cs="宋体"/>
          <w:sz w:val="32"/>
          <w:szCs w:val="32"/>
        </w:rPr>
        <w:t> </w:t>
      </w:r>
    </w:p>
    <w:p>
      <w:pPr>
        <w:ind w:firstLine="636"/>
        <w:rPr>
          <w:rFonts w:ascii="仿宋" w:hAnsi="仿宋" w:eastAsia="仿宋"/>
          <w:sz w:val="32"/>
          <w:szCs w:val="32"/>
        </w:rPr>
      </w:pPr>
    </w:p>
    <w:sectPr>
      <w:footerReference r:id="rId3" w:type="default"/>
      <w:pgSz w:w="11906" w:h="16838"/>
      <w:pgMar w:top="2098"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28850669"/>
                  <w:docPartObj>
                    <w:docPartGallery w:val="autotext"/>
                  </w:docPartObj>
                </w:sdtPr>
                <w:sdtContent>
                  <w:p>
                    <w:pPr>
                      <w:pStyle w:val="3"/>
                      <w:jc w:val="cente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6</w:t>
                    </w:r>
                    <w:r>
                      <w:rPr>
                        <w:rFonts w:ascii="宋体" w:hAnsi="宋体"/>
                        <w:sz w:val="28"/>
                        <w:lang w:val="zh-CN"/>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35A6"/>
    <w:rsid w:val="00171B30"/>
    <w:rsid w:val="001A5565"/>
    <w:rsid w:val="002C1B84"/>
    <w:rsid w:val="00354AC8"/>
    <w:rsid w:val="00395D04"/>
    <w:rsid w:val="003A6235"/>
    <w:rsid w:val="00434CD6"/>
    <w:rsid w:val="00441BA9"/>
    <w:rsid w:val="004522DF"/>
    <w:rsid w:val="004F4A9B"/>
    <w:rsid w:val="00593619"/>
    <w:rsid w:val="005A66C5"/>
    <w:rsid w:val="0072194C"/>
    <w:rsid w:val="00721E65"/>
    <w:rsid w:val="00822BC9"/>
    <w:rsid w:val="0097134F"/>
    <w:rsid w:val="00A33BAE"/>
    <w:rsid w:val="00A608E3"/>
    <w:rsid w:val="00B80689"/>
    <w:rsid w:val="00C071F8"/>
    <w:rsid w:val="00C418C4"/>
    <w:rsid w:val="00C55447"/>
    <w:rsid w:val="00C764A7"/>
    <w:rsid w:val="00C835A6"/>
    <w:rsid w:val="00D66347"/>
    <w:rsid w:val="085C45E5"/>
    <w:rsid w:val="0BAC7570"/>
    <w:rsid w:val="11655824"/>
    <w:rsid w:val="1BEE0F7A"/>
    <w:rsid w:val="254B10D5"/>
    <w:rsid w:val="279705DC"/>
    <w:rsid w:val="27AB626D"/>
    <w:rsid w:val="32B530A6"/>
    <w:rsid w:val="3BE963A9"/>
    <w:rsid w:val="4CF36340"/>
    <w:rsid w:val="4D4B66B1"/>
    <w:rsid w:val="58725EF8"/>
    <w:rsid w:val="5B38017E"/>
    <w:rsid w:val="5F5E0C58"/>
    <w:rsid w:val="703A164D"/>
    <w:rsid w:val="72011588"/>
    <w:rsid w:val="772C08C8"/>
    <w:rsid w:val="78023CFB"/>
    <w:rsid w:val="7A483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cs="Calibri"/>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466</Words>
  <Characters>2661</Characters>
  <Lines>22</Lines>
  <Paragraphs>6</Paragraphs>
  <TotalTime>11</TotalTime>
  <ScaleCrop>false</ScaleCrop>
  <LinksUpToDate>false</LinksUpToDate>
  <CharactersWithSpaces>3121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2020-12-23T08:06:00Z</dcterms:created>
  <dc:creator>lenovo</dc:creator>
  <cp:lastModifiedBy>一休</cp:lastModifiedBy>
  <dcterms:modified xsi:type="dcterms:W3CDTF">2021-02-09T02:57:27Z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