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i w:val="0"/>
          <w:caps w:val="0"/>
          <w:color w:val="auto"/>
          <w:spacing w:val="0"/>
          <w:sz w:val="44"/>
          <w:szCs w:val="44"/>
        </w:rPr>
      </w:pPr>
      <w:bookmarkStart w:id="0" w:name="_Hlk476726591"/>
      <w:bookmarkEnd w:id="0"/>
    </w:p>
    <w:p>
      <w:pPr>
        <w:rPr>
          <w:sz w:val="44"/>
          <w:szCs w:val="44"/>
        </w:rPr>
      </w:pPr>
    </w:p>
    <w:p>
      <w:pPr>
        <w:jc w:val="center"/>
        <w:rPr>
          <w:rFonts w:ascii="黑体" w:hAnsi="黑体" w:eastAsia="黑体" w:cs="黑体"/>
          <w:b/>
          <w:bCs/>
          <w:color w:val="FF0000"/>
          <w:sz w:val="52"/>
          <w:szCs w:val="52"/>
        </w:rPr>
      </w:pPr>
    </w:p>
    <w:p>
      <w:pPr>
        <w:jc w:val="center"/>
        <w:rPr>
          <w:rFonts w:hint="eastAsia" w:asciiTheme="majorEastAsia" w:hAnsiTheme="majorEastAsia" w:eastAsiaTheme="majorEastAsia" w:cstheme="majorEastAsia"/>
          <w:b/>
          <w:bCs/>
          <w:color w:val="FF0000"/>
          <w:sz w:val="52"/>
          <w:szCs w:val="52"/>
        </w:rPr>
      </w:pPr>
      <w:r>
        <w:rPr>
          <w:rFonts w:hint="eastAsia" w:asciiTheme="majorEastAsia" w:hAnsiTheme="majorEastAsia" w:eastAsiaTheme="majorEastAsia" w:cstheme="majorEastAsia"/>
          <w:b/>
          <w:bCs/>
          <w:color w:val="FF0000"/>
          <w:sz w:val="52"/>
          <w:szCs w:val="52"/>
        </w:rPr>
        <w:t>淄博市2019年政府信息公开工作</w:t>
      </w:r>
    </w:p>
    <w:p>
      <w:pPr>
        <w:jc w:val="center"/>
        <w:rPr>
          <w:rFonts w:hint="eastAsia" w:asciiTheme="majorEastAsia" w:hAnsiTheme="majorEastAsia" w:eastAsiaTheme="majorEastAsia" w:cstheme="majorEastAsia"/>
          <w:b/>
          <w:bCs/>
          <w:color w:val="FF0000"/>
          <w:sz w:val="84"/>
          <w:szCs w:val="84"/>
        </w:rPr>
      </w:pPr>
      <w:r>
        <w:rPr>
          <w:rFonts w:hint="eastAsia" w:asciiTheme="majorEastAsia" w:hAnsiTheme="majorEastAsia" w:eastAsiaTheme="majorEastAsia" w:cstheme="majorEastAsia"/>
          <w:b/>
          <w:bCs/>
          <w:color w:val="FF0000"/>
          <w:sz w:val="84"/>
          <w:szCs w:val="84"/>
        </w:rPr>
        <w:t>年度报告</w:t>
      </w:r>
    </w:p>
    <w:p>
      <w:pPr>
        <w:rPr>
          <w:sz w:val="72"/>
          <w:szCs w:val="72"/>
        </w:rPr>
      </w:pPr>
    </w:p>
    <w:p>
      <w:pPr>
        <w:rPr>
          <w:rFonts w:hint="eastAsia" w:eastAsiaTheme="minorEastAsia"/>
          <w:sz w:val="72"/>
          <w:szCs w:val="72"/>
          <w:lang w:eastAsia="zh-CN"/>
        </w:rPr>
      </w:pPr>
    </w:p>
    <w:p>
      <w:pPr>
        <w:rPr>
          <w:sz w:val="72"/>
          <w:szCs w:val="72"/>
        </w:rPr>
      </w:pPr>
    </w:p>
    <w:p>
      <w:pPr>
        <w:rPr>
          <w:sz w:val="72"/>
          <w:szCs w:val="72"/>
        </w:rPr>
      </w:pPr>
    </w:p>
    <w:p>
      <w:pPr>
        <w:rPr>
          <w:sz w:val="72"/>
          <w:szCs w:val="72"/>
        </w:rPr>
      </w:pPr>
    </w:p>
    <w:p>
      <w:pPr>
        <w:rPr>
          <w:sz w:val="72"/>
          <w:szCs w:val="72"/>
        </w:rPr>
      </w:pPr>
    </w:p>
    <w:p>
      <w:pPr>
        <w:rPr>
          <w:sz w:val="72"/>
          <w:szCs w:val="72"/>
        </w:rPr>
      </w:pPr>
    </w:p>
    <w:p>
      <w:pPr>
        <w:rPr>
          <w:sz w:val="72"/>
          <w:szCs w:val="72"/>
        </w:rPr>
      </w:pP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淄博市人民政府办公室</w:t>
      </w:r>
    </w:p>
    <w:p>
      <w:pPr>
        <w:jc w:val="center"/>
        <w:rPr>
          <w:rFonts w:ascii="宋体" w:hAnsi="宋体" w:eastAsia="宋体" w:cs="宋体"/>
          <w:b/>
          <w:bCs/>
          <w:sz w:val="36"/>
          <w:szCs w:val="36"/>
        </w:rPr>
      </w:pPr>
      <w:r>
        <w:rPr>
          <w:rFonts w:hint="eastAsia" w:ascii="宋体" w:hAnsi="宋体" w:eastAsia="宋体" w:cs="宋体"/>
          <w:b/>
          <w:bCs/>
          <w:sz w:val="36"/>
          <w:szCs w:val="36"/>
        </w:rPr>
        <w:t>2020年2月</w:t>
      </w:r>
    </w:p>
    <w:p>
      <w:pPr>
        <w:spacing w:before="156" w:beforeLines="50" w:after="156" w:afterLines="50"/>
        <w:rPr>
          <w:rFonts w:hint="eastAsia"/>
          <w:b/>
          <w:bCs/>
          <w:sz w:val="36"/>
          <w:szCs w:val="36"/>
        </w:rPr>
        <w:sectPr>
          <w:headerReference r:id="rId3" w:type="default"/>
          <w:headerReference r:id="rId4" w:type="even"/>
          <w:pgSz w:w="11906" w:h="16838"/>
          <w:pgMar w:top="1440" w:right="1236" w:bottom="1440" w:left="1236" w:header="851" w:footer="992" w:gutter="0"/>
          <w:pgBorders>
            <w:top w:val="threeDEngrave" w:color="92D050" w:sz="24" w:space="5"/>
          </w:pgBorders>
          <w:pgNumType w:fmt="decimalFullWidth"/>
          <w:cols w:space="720" w:num="1"/>
          <w:docGrid w:type="lines" w:linePitch="312" w:charSpace="0"/>
        </w:sectPr>
      </w:pPr>
    </w:p>
    <w:p>
      <w:pPr>
        <w:spacing w:before="156" w:beforeLines="50" w:after="156" w:afterLines="50"/>
        <w:rPr>
          <w:rFonts w:hint="eastAsia"/>
          <w:b/>
          <w:bCs/>
          <w:sz w:val="36"/>
          <w:szCs w:val="36"/>
        </w:rPr>
      </w:pPr>
    </w:p>
    <w:p>
      <w:pPr>
        <w:spacing w:before="156" w:beforeLines="50" w:after="156" w:afterLines="50"/>
        <w:rPr>
          <w:b/>
          <w:bCs/>
          <w:sz w:val="36"/>
          <w:szCs w:val="36"/>
        </w:rPr>
      </w:pPr>
      <w:r>
        <w:rPr>
          <w:rFonts w:hint="eastAsia"/>
          <w:b/>
          <w:bCs/>
          <w:sz w:val="36"/>
          <w:szCs w:val="36"/>
        </w:rPr>
        <w:t>引言</w:t>
      </w:r>
    </w:p>
    <w:p>
      <w:pPr>
        <w:ind w:firstLine="640" w:firstLineChars="200"/>
        <w:jc w:val="left"/>
        <w:rPr>
          <w:rFonts w:ascii="仿宋" w:hAnsi="仿宋" w:eastAsia="仿宋" w:cs="仿宋"/>
          <w:sz w:val="32"/>
          <w:szCs w:val="32"/>
        </w:rPr>
      </w:pPr>
      <w:r>
        <w:rPr>
          <w:rFonts w:ascii="仿宋" w:hAnsi="仿宋" w:eastAsia="仿宋" w:cs="仿宋"/>
          <w:sz w:val="32"/>
          <w:szCs w:val="32"/>
        </w:rPr>
        <w:t>本报告按照《中华人民共和国政府信息公开条例》（以下简称《条例》）和《山东省政府信息公开办法》（以下简称《办法》）规定，</w:t>
      </w:r>
      <w:r>
        <w:rPr>
          <w:rFonts w:hint="eastAsia" w:ascii="仿宋" w:hAnsi="仿宋" w:eastAsia="仿宋" w:cs="仿宋"/>
          <w:sz w:val="32"/>
          <w:szCs w:val="32"/>
        </w:rPr>
        <w:t>由淄博市人民政府办公室综合淄博市</w:t>
      </w:r>
      <w:r>
        <w:rPr>
          <w:rFonts w:ascii="仿宋" w:hAnsi="仿宋" w:eastAsia="仿宋" w:cs="仿宋"/>
          <w:sz w:val="32"/>
          <w:szCs w:val="32"/>
        </w:rPr>
        <w:t>各区县人民政府</w:t>
      </w:r>
      <w:r>
        <w:rPr>
          <w:rFonts w:hint="eastAsia" w:ascii="仿宋" w:hAnsi="仿宋" w:eastAsia="仿宋" w:cs="仿宋"/>
          <w:sz w:val="32"/>
          <w:szCs w:val="32"/>
          <w:lang w:eastAsia="zh-CN"/>
        </w:rPr>
        <w:t>和</w:t>
      </w:r>
      <w:r>
        <w:rPr>
          <w:rFonts w:ascii="仿宋" w:hAnsi="仿宋" w:eastAsia="仿宋" w:cs="仿宋"/>
          <w:sz w:val="32"/>
          <w:szCs w:val="32"/>
        </w:rPr>
        <w:t>高新区、</w:t>
      </w:r>
      <w:r>
        <w:rPr>
          <w:rFonts w:hint="eastAsia" w:ascii="仿宋" w:hAnsi="仿宋" w:eastAsia="仿宋" w:cs="仿宋"/>
          <w:sz w:val="32"/>
          <w:szCs w:val="32"/>
        </w:rPr>
        <w:t>经济开发区、</w:t>
      </w:r>
      <w:r>
        <w:rPr>
          <w:rFonts w:ascii="仿宋" w:hAnsi="仿宋" w:eastAsia="仿宋" w:cs="仿宋"/>
          <w:sz w:val="32"/>
          <w:szCs w:val="32"/>
        </w:rPr>
        <w:t>文昌湖区管委会</w:t>
      </w:r>
      <w:r>
        <w:rPr>
          <w:rFonts w:hint="eastAsia" w:ascii="仿宋" w:hAnsi="仿宋" w:eastAsia="仿宋" w:cs="仿宋"/>
          <w:sz w:val="32"/>
          <w:szCs w:val="32"/>
          <w:lang w:eastAsia="zh-CN"/>
        </w:rPr>
        <w:t>及</w:t>
      </w:r>
      <w:r>
        <w:rPr>
          <w:rFonts w:ascii="仿宋" w:hAnsi="仿宋" w:eastAsia="仿宋" w:cs="仿宋"/>
          <w:sz w:val="32"/>
          <w:szCs w:val="32"/>
        </w:rPr>
        <w:t>市政府各</w:t>
      </w:r>
      <w:r>
        <w:rPr>
          <w:rFonts w:hint="eastAsia" w:ascii="仿宋" w:hAnsi="仿宋" w:eastAsia="仿宋" w:cs="仿宋"/>
          <w:sz w:val="32"/>
          <w:szCs w:val="32"/>
        </w:rPr>
        <w:t>工作</w:t>
      </w:r>
      <w:r>
        <w:rPr>
          <w:rFonts w:ascii="仿宋" w:hAnsi="仿宋" w:eastAsia="仿宋" w:cs="仿宋"/>
          <w:sz w:val="32"/>
          <w:szCs w:val="32"/>
        </w:rPr>
        <w:t>部门、各有关单位政府信息公开工作</w:t>
      </w:r>
      <w:r>
        <w:rPr>
          <w:rFonts w:hint="eastAsia" w:ascii="仿宋" w:hAnsi="仿宋" w:eastAsia="仿宋" w:cs="仿宋"/>
          <w:sz w:val="32"/>
          <w:szCs w:val="32"/>
        </w:rPr>
        <w:t>情况</w:t>
      </w:r>
      <w:r>
        <w:rPr>
          <w:rFonts w:ascii="仿宋" w:hAnsi="仿宋" w:eastAsia="仿宋" w:cs="仿宋"/>
          <w:sz w:val="32"/>
          <w:szCs w:val="32"/>
        </w:rPr>
        <w:t>编制。</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报告全文由总体情况</w:t>
      </w:r>
      <w:r>
        <w:rPr>
          <w:rFonts w:hint="eastAsia" w:ascii="仿宋" w:hAnsi="仿宋" w:eastAsia="仿宋" w:cs="仿宋"/>
          <w:sz w:val="32"/>
          <w:szCs w:val="32"/>
          <w:lang w:eastAsia="zh-CN"/>
        </w:rPr>
        <w:t>、</w:t>
      </w:r>
      <w:r>
        <w:rPr>
          <w:rFonts w:hint="eastAsia" w:ascii="仿宋" w:hAnsi="仿宋" w:eastAsia="仿宋" w:cs="仿宋"/>
          <w:sz w:val="32"/>
          <w:szCs w:val="32"/>
        </w:rPr>
        <w:t>主动公开政府信息情况</w:t>
      </w:r>
      <w:r>
        <w:rPr>
          <w:rFonts w:hint="eastAsia" w:ascii="仿宋" w:hAnsi="仿宋" w:eastAsia="仿宋" w:cs="仿宋"/>
          <w:sz w:val="32"/>
          <w:szCs w:val="32"/>
          <w:lang w:eastAsia="zh-CN"/>
        </w:rPr>
        <w:t>、</w:t>
      </w:r>
      <w:r>
        <w:rPr>
          <w:rFonts w:hint="eastAsia" w:ascii="仿宋" w:hAnsi="仿宋" w:eastAsia="仿宋" w:cs="仿宋"/>
          <w:sz w:val="32"/>
          <w:szCs w:val="32"/>
        </w:rPr>
        <w:t>收到和处理政府信息公开申请情况</w:t>
      </w:r>
      <w:r>
        <w:rPr>
          <w:rFonts w:hint="eastAsia" w:ascii="仿宋" w:hAnsi="仿宋" w:eastAsia="仿宋" w:cs="仿宋"/>
          <w:sz w:val="32"/>
          <w:szCs w:val="32"/>
          <w:lang w:eastAsia="zh-CN"/>
        </w:rPr>
        <w:t>、</w:t>
      </w:r>
      <w:r>
        <w:rPr>
          <w:rFonts w:hint="eastAsia" w:ascii="仿宋" w:hAnsi="仿宋" w:eastAsia="仿宋" w:cs="仿宋"/>
          <w:sz w:val="32"/>
          <w:szCs w:val="32"/>
        </w:rPr>
        <w:t>政府信息公开行政复议行政诉讼情况</w:t>
      </w:r>
      <w:r>
        <w:rPr>
          <w:rFonts w:hint="eastAsia" w:ascii="仿宋" w:hAnsi="仿宋" w:eastAsia="仿宋" w:cs="仿宋"/>
          <w:sz w:val="32"/>
          <w:szCs w:val="32"/>
          <w:lang w:eastAsia="zh-CN"/>
        </w:rPr>
        <w:t>、</w:t>
      </w:r>
      <w:r>
        <w:rPr>
          <w:rFonts w:hint="eastAsia" w:ascii="仿宋" w:hAnsi="仿宋" w:eastAsia="仿宋" w:cs="仿宋"/>
          <w:sz w:val="32"/>
          <w:szCs w:val="32"/>
        </w:rPr>
        <w:t>存在的主要问题及改进情况</w:t>
      </w:r>
      <w:r>
        <w:rPr>
          <w:rFonts w:hint="eastAsia" w:ascii="仿宋" w:hAnsi="仿宋" w:eastAsia="仿宋" w:cs="仿宋"/>
          <w:sz w:val="32"/>
          <w:szCs w:val="32"/>
          <w:lang w:eastAsia="zh-CN"/>
        </w:rPr>
        <w:t>、</w:t>
      </w:r>
      <w:r>
        <w:rPr>
          <w:rFonts w:hint="eastAsia" w:ascii="仿宋" w:hAnsi="仿宋" w:eastAsia="仿宋" w:cs="仿宋"/>
          <w:sz w:val="32"/>
          <w:szCs w:val="32"/>
        </w:rPr>
        <w:t>其他需要报告的事项</w:t>
      </w:r>
      <w:r>
        <w:rPr>
          <w:rFonts w:hint="eastAsia" w:ascii="仿宋" w:hAnsi="仿宋" w:eastAsia="仿宋" w:cs="仿宋"/>
          <w:sz w:val="32"/>
          <w:szCs w:val="32"/>
          <w:lang w:val="en-US" w:eastAsia="zh-CN"/>
        </w:rPr>
        <w:t>6</w:t>
      </w:r>
      <w:r>
        <w:rPr>
          <w:rFonts w:hint="eastAsia" w:ascii="仿宋" w:hAnsi="仿宋" w:eastAsia="仿宋" w:cs="仿宋"/>
          <w:sz w:val="32"/>
          <w:szCs w:val="32"/>
        </w:rPr>
        <w:t>个部分组成。</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报告中所列数据统计期限自2019年1月1日始，至20</w:t>
      </w:r>
      <w:r>
        <w:rPr>
          <w:rFonts w:hint="eastAsia" w:ascii="仿宋" w:hAnsi="仿宋" w:eastAsia="仿宋" w:cs="仿宋"/>
          <w:sz w:val="32"/>
          <w:szCs w:val="32"/>
          <w:lang w:val="en-US" w:eastAsia="zh-CN"/>
        </w:rPr>
        <w:t>19</w:t>
      </w:r>
      <w:r>
        <w:rPr>
          <w:rFonts w:hint="eastAsia" w:ascii="仿宋" w:hAnsi="仿宋" w:eastAsia="仿宋" w:cs="仿宋"/>
          <w:sz w:val="32"/>
          <w:szCs w:val="32"/>
        </w:rPr>
        <w:t>年12月31日止。报告电子版可从淄博市人民政府门户网站（www.zibo.gov.cn）下载。如对报告内容有疑问，请与淄博市人民政府政务公开办公室联系（地址：淄博市张店区人民西路8号；邮编：255003；电话：0533-3183622）。</w:t>
      </w:r>
    </w:p>
    <w:p>
      <w:pPr>
        <w:numPr>
          <w:ilvl w:val="0"/>
          <w:numId w:val="0"/>
        </w:numPr>
        <w:spacing w:before="156" w:beforeLines="50" w:after="156" w:afterLines="50"/>
        <w:jc w:val="center"/>
        <w:rPr>
          <w:rFonts w:hint="eastAsia" w:asciiTheme="majorEastAsia" w:hAnsiTheme="majorEastAsia" w:eastAsiaTheme="majorEastAsia" w:cstheme="majorEastAsia"/>
          <w:b/>
          <w:bCs/>
          <w:sz w:val="36"/>
          <w:szCs w:val="36"/>
          <w:lang w:eastAsia="zh-CN"/>
        </w:rPr>
        <w:sectPr>
          <w:footerReference r:id="rId5" w:type="default"/>
          <w:footerReference r:id="rId6" w:type="even"/>
          <w:pgSz w:w="11906" w:h="16838"/>
          <w:pgMar w:top="1440" w:right="1236" w:bottom="1440" w:left="1236" w:header="851" w:footer="992" w:gutter="0"/>
          <w:pgBorders>
            <w:top w:val="threeDEngrave" w:color="92D050" w:sz="24" w:space="5"/>
          </w:pgBorders>
          <w:pgNumType w:fmt="decimalFullWidth" w:start="1"/>
          <w:cols w:space="720" w:num="1"/>
          <w:docGrid w:type="lines" w:linePitch="312" w:charSpace="0"/>
        </w:sectPr>
      </w:pPr>
    </w:p>
    <w:p>
      <w:pPr>
        <w:numPr>
          <w:ilvl w:val="0"/>
          <w:numId w:val="1"/>
        </w:numPr>
        <w:spacing w:before="156" w:beforeLines="50" w:after="156" w:afterLines="50"/>
        <w:jc w:val="left"/>
        <w:rPr>
          <w:rFonts w:asciiTheme="majorEastAsia" w:hAnsiTheme="majorEastAsia" w:eastAsiaTheme="majorEastAsia" w:cstheme="majorEastAsia"/>
          <w:b/>
          <w:bCs/>
          <w:sz w:val="36"/>
          <w:szCs w:val="36"/>
        </w:rPr>
      </w:pPr>
      <w:r>
        <w:drawing>
          <wp:anchor distT="0" distB="0" distL="114300" distR="114300" simplePos="0" relativeHeight="251658240" behindDoc="0" locked="0" layoutInCell="1" allowOverlap="1">
            <wp:simplePos x="0" y="0"/>
            <wp:positionH relativeFrom="column">
              <wp:posOffset>596265</wp:posOffset>
            </wp:positionH>
            <wp:positionV relativeFrom="paragraph">
              <wp:posOffset>140970</wp:posOffset>
            </wp:positionV>
            <wp:extent cx="4537075" cy="2774315"/>
            <wp:effectExtent l="9525" t="9525" r="25400" b="165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537075" cy="2774315"/>
                    </a:xfrm>
                    <a:prstGeom prst="rect">
                      <a:avLst/>
                    </a:prstGeom>
                    <a:noFill/>
                    <a:ln>
                      <a:solidFill>
                        <a:srgbClr val="0000FF"/>
                      </a:solidFill>
                    </a:ln>
                  </pic:spPr>
                </pic:pic>
              </a:graphicData>
            </a:graphic>
          </wp:anchor>
        </w:drawing>
      </w:r>
      <w:r>
        <w:rPr>
          <w:rFonts w:hint="eastAsia" w:asciiTheme="majorEastAsia" w:hAnsiTheme="majorEastAsia" w:eastAsiaTheme="majorEastAsia" w:cstheme="majorEastAsia"/>
          <w:b/>
          <w:bCs/>
          <w:sz w:val="36"/>
          <w:szCs w:val="36"/>
        </w:rPr>
        <w:t>总体情况</w:t>
      </w:r>
    </w:p>
    <w:p>
      <w:pPr>
        <w:ind w:firstLine="420" w:firstLineChars="200"/>
        <w:jc w:val="left"/>
        <w:rPr>
          <w:rFonts w:eastAsia="仿宋" w:asciiTheme="majorEastAsia" w:hAnsiTheme="majorEastAsia" w:cstheme="majorEastAsia"/>
          <w:b/>
          <w:bCs/>
          <w:sz w:val="32"/>
          <w:szCs w:val="32"/>
        </w:rPr>
      </w:pPr>
      <w:r>
        <w:drawing>
          <wp:anchor distT="0" distB="0" distL="114300" distR="114300" simplePos="0" relativeHeight="251660288" behindDoc="1" locked="0" layoutInCell="1" allowOverlap="1">
            <wp:simplePos x="0" y="0"/>
            <wp:positionH relativeFrom="column">
              <wp:posOffset>2591435</wp:posOffset>
            </wp:positionH>
            <wp:positionV relativeFrom="paragraph">
              <wp:posOffset>949960</wp:posOffset>
            </wp:positionV>
            <wp:extent cx="3293745" cy="3891280"/>
            <wp:effectExtent l="9525" t="9525" r="11430" b="23495"/>
            <wp:wrapTight wrapText="bothSides">
              <wp:wrapPolygon>
                <wp:start x="-62" y="-53"/>
                <wp:lineTo x="-62" y="21519"/>
                <wp:lineTo x="21550" y="21519"/>
                <wp:lineTo x="21550" y="-53"/>
                <wp:lineTo x="-62" y="-53"/>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3293745" cy="3891280"/>
                    </a:xfrm>
                    <a:prstGeom prst="rect">
                      <a:avLst/>
                    </a:prstGeom>
                    <a:noFill/>
                    <a:ln>
                      <a:solidFill>
                        <a:srgbClr val="0000FF"/>
                      </a:solidFill>
                    </a:ln>
                  </pic:spPr>
                </pic:pic>
              </a:graphicData>
            </a:graphic>
          </wp:anchor>
        </w:drawing>
      </w:r>
      <w:r>
        <w:rPr>
          <w:rFonts w:hint="eastAsia" w:ascii="仿宋" w:hAnsi="仿宋" w:eastAsia="仿宋" w:cs="仿宋"/>
          <w:sz w:val="32"/>
          <w:szCs w:val="32"/>
        </w:rPr>
        <w:t>2019年，我市以习近平新时代中国特色社会主义思想为指导，认真贯彻落实党中央、国务院和省委、省政府全面推进政务公开的决策部署，不断加强组织领导，加大公开力度，着力推动行政权力全过程公开、公共服务全流程公开、社会关切全方位回应，政务公开工作取得积极成效。2019年3月份中国社会科学院法学研究所发布的《中国政府透明度指数报告》显示，我市政府透明度在全国49个较大的市中列第9位。</w:t>
      </w:r>
    </w:p>
    <w:p>
      <w:pPr>
        <w:ind w:firstLine="643" w:firstLineChars="200"/>
        <w:rPr>
          <w:rFonts w:ascii="宋体" w:hAnsi="宋体" w:eastAsia="宋体" w:cs="宋体"/>
          <w:b/>
          <w:bCs/>
          <w:sz w:val="32"/>
          <w:szCs w:val="32"/>
        </w:rPr>
      </w:pPr>
      <w:r>
        <w:rPr>
          <w:rFonts w:hint="eastAsia" w:ascii="宋体" w:hAnsi="宋体" w:eastAsia="宋体" w:cs="宋体"/>
          <w:b/>
          <w:bCs/>
          <w:sz w:val="32"/>
          <w:szCs w:val="32"/>
        </w:rPr>
        <w:t>（一）加强组织推动</w:t>
      </w:r>
    </w:p>
    <w:p>
      <w:pPr>
        <w:ind w:firstLine="420" w:firstLineChars="200"/>
        <w:rPr>
          <w:rFonts w:ascii="仿宋" w:hAnsi="仿宋" w:eastAsia="仿宋" w:cs="仿宋"/>
          <w:sz w:val="32"/>
          <w:szCs w:val="32"/>
        </w:rPr>
      </w:pPr>
      <w:r>
        <w:rPr>
          <w:highlight w:val="none"/>
        </w:rPr>
        <w:drawing>
          <wp:anchor distT="0" distB="0" distL="114300" distR="114300" simplePos="0" relativeHeight="269818880" behindDoc="1" locked="0" layoutInCell="1" allowOverlap="1">
            <wp:simplePos x="0" y="0"/>
            <wp:positionH relativeFrom="column">
              <wp:posOffset>52705</wp:posOffset>
            </wp:positionH>
            <wp:positionV relativeFrom="paragraph">
              <wp:posOffset>457200</wp:posOffset>
            </wp:positionV>
            <wp:extent cx="2454910" cy="3075305"/>
            <wp:effectExtent l="9525" t="9525" r="0" b="0"/>
            <wp:wrapTight wrapText="bothSides">
              <wp:wrapPolygon>
                <wp:start x="-84" y="-67"/>
                <wp:lineTo x="-84" y="21475"/>
                <wp:lineTo x="21539" y="21475"/>
                <wp:lineTo x="21539" y="-67"/>
                <wp:lineTo x="-84" y="-67"/>
              </wp:wrapPolygon>
            </wp:wrapTight>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2"/>
                    <a:stretch>
                      <a:fillRect/>
                    </a:stretch>
                  </pic:blipFill>
                  <pic:spPr>
                    <a:xfrm>
                      <a:off x="0" y="0"/>
                      <a:ext cx="2454910" cy="3075305"/>
                    </a:xfrm>
                    <a:prstGeom prst="rect">
                      <a:avLst/>
                    </a:prstGeom>
                    <a:noFill/>
                    <a:ln w="9525" cap="flat" cmpd="sng">
                      <a:solidFill>
                        <a:srgbClr val="0000FF"/>
                      </a:solidFill>
                      <a:prstDash val="solid"/>
                      <a:miter/>
                      <a:headEnd type="none" w="med" len="med"/>
                      <a:tailEnd type="none" w="med" len="med"/>
                    </a:ln>
                  </pic:spPr>
                </pic:pic>
              </a:graphicData>
            </a:graphic>
          </wp:anchor>
        </w:drawing>
      </w:r>
      <w:r>
        <w:drawing>
          <wp:anchor distT="0" distB="0" distL="114300" distR="114300" simplePos="0" relativeHeight="251663360" behindDoc="1" locked="0" layoutInCell="1" allowOverlap="1">
            <wp:simplePos x="0" y="0"/>
            <wp:positionH relativeFrom="column">
              <wp:posOffset>3740150</wp:posOffset>
            </wp:positionH>
            <wp:positionV relativeFrom="paragraph">
              <wp:posOffset>5200015</wp:posOffset>
            </wp:positionV>
            <wp:extent cx="2268855" cy="2779395"/>
            <wp:effectExtent l="9525" t="9525" r="26670" b="68580"/>
            <wp:wrapTight wrapText="bothSides">
              <wp:wrapPolygon>
                <wp:start x="-91" y="-74"/>
                <wp:lineTo x="-91" y="21541"/>
                <wp:lineTo x="21491" y="21541"/>
                <wp:lineTo x="21491" y="-74"/>
                <wp:lineTo x="-91" y="-74"/>
              </wp:wrapPolygon>
            </wp:wrapTight>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2268855" cy="2779395"/>
                    </a:xfrm>
                    <a:prstGeom prst="rect">
                      <a:avLst/>
                    </a:prstGeom>
                    <a:noFill/>
                    <a:ln>
                      <a:solidFill>
                        <a:srgbClr val="0000FF"/>
                      </a:solidFill>
                    </a:ln>
                  </pic:spPr>
                </pic:pic>
              </a:graphicData>
            </a:graphic>
          </wp:anchor>
        </w:drawing>
      </w:r>
      <w:r>
        <w:rPr>
          <w:rFonts w:hint="eastAsia" w:ascii="楷体" w:hAnsi="楷体" w:eastAsia="楷体" w:cs="楷体"/>
          <w:sz w:val="32"/>
          <w:szCs w:val="32"/>
        </w:rPr>
        <w:t>一是加强组织领导。</w:t>
      </w:r>
      <w:r>
        <w:rPr>
          <w:rFonts w:hint="eastAsia" w:ascii="仿宋" w:hAnsi="仿宋" w:eastAsia="仿宋" w:cs="仿宋"/>
          <w:sz w:val="32"/>
          <w:szCs w:val="32"/>
          <w:lang w:val="en-US" w:eastAsia="zh-CN"/>
        </w:rPr>
        <w:t>《淄博市2019年政府工作报告》明确提出：</w:t>
      </w:r>
      <w:r>
        <w:rPr>
          <w:rFonts w:hint="eastAsia" w:ascii="仿宋" w:hAnsi="仿宋" w:eastAsia="仿宋" w:cs="仿宋"/>
          <w:sz w:val="32"/>
          <w:szCs w:val="32"/>
        </w:rPr>
        <w:t>全过程推进政务公开,切实打造公开透明的法治政府</w:t>
      </w:r>
      <w:r>
        <w:rPr>
          <w:rFonts w:hint="eastAsia" w:ascii="仿宋" w:hAnsi="仿宋" w:eastAsia="仿宋" w:cs="仿宋"/>
          <w:sz w:val="32"/>
          <w:szCs w:val="32"/>
          <w:lang w:eastAsia="zh-CN"/>
        </w:rPr>
        <w:t>；主动回应社会关切和群众诉求,尽心竭力为群众办实事、解难题</w:t>
      </w:r>
      <w:r>
        <w:rPr>
          <w:rFonts w:hint="eastAsia" w:ascii="仿宋" w:hAnsi="仿宋" w:eastAsia="仿宋" w:cs="仿宋"/>
          <w:sz w:val="32"/>
          <w:szCs w:val="32"/>
        </w:rPr>
        <w:t>。年内市政府调整</w:t>
      </w:r>
      <w:r>
        <w:rPr>
          <w:rFonts w:hint="eastAsia" w:ascii="仿宋" w:hAnsi="仿宋" w:eastAsia="仿宋" w:cs="仿宋"/>
          <w:sz w:val="32"/>
          <w:szCs w:val="32"/>
          <w:lang w:eastAsia="zh-CN"/>
        </w:rPr>
        <w:t>领导成员</w:t>
      </w:r>
      <w:r>
        <w:rPr>
          <w:rFonts w:hint="eastAsia" w:ascii="仿宋" w:hAnsi="仿宋" w:eastAsia="仿宋" w:cs="仿宋"/>
          <w:sz w:val="32"/>
          <w:szCs w:val="32"/>
        </w:rPr>
        <w:t>分工时，继续明确将政务公开写入领导分工范围</w:t>
      </w:r>
      <w:r>
        <w:rPr>
          <w:rFonts w:hint="eastAsia" w:ascii="仿宋" w:hAnsi="仿宋" w:eastAsia="仿宋" w:cs="仿宋"/>
          <w:sz w:val="32"/>
          <w:szCs w:val="32"/>
          <w:lang w:eastAsia="zh-CN"/>
        </w:rPr>
        <w:t>并对外发布</w:t>
      </w:r>
      <w:r>
        <w:rPr>
          <w:rFonts w:hint="eastAsia" w:ascii="仿宋" w:hAnsi="仿宋" w:eastAsia="仿宋" w:cs="仿宋"/>
          <w:sz w:val="32"/>
          <w:szCs w:val="32"/>
        </w:rPr>
        <w:t>；</w:t>
      </w:r>
      <w:r>
        <w:rPr>
          <w:rFonts w:hint="eastAsia" w:ascii="仿宋" w:hAnsi="仿宋" w:eastAsia="仿宋" w:cs="仿宋"/>
          <w:sz w:val="32"/>
          <w:szCs w:val="32"/>
          <w:lang w:eastAsia="zh-CN"/>
        </w:rPr>
        <w:t>机构改革中，将市政府政务公开办公室作为市政府政务公开工作机构继续予以保留；</w:t>
      </w:r>
      <w:r>
        <w:rPr>
          <w:rFonts w:hint="eastAsia" w:ascii="仿宋" w:hAnsi="仿宋" w:eastAsia="仿宋" w:cs="仿宋"/>
          <w:sz w:val="32"/>
          <w:szCs w:val="32"/>
        </w:rPr>
        <w:t>根据机构改革、职能转变、人员变动和工作需要，对市政务公开领导小组作出调整，</w:t>
      </w:r>
      <w:r>
        <w:rPr>
          <w:rFonts w:hint="eastAsia" w:ascii="仿宋" w:hAnsi="仿宋" w:eastAsia="仿宋" w:cs="仿宋"/>
          <w:sz w:val="32"/>
          <w:szCs w:val="32"/>
          <w:lang w:eastAsia="zh-CN"/>
        </w:rPr>
        <w:t>进一步</w:t>
      </w:r>
      <w:r>
        <w:rPr>
          <w:rFonts w:hint="eastAsia" w:ascii="仿宋" w:hAnsi="仿宋" w:eastAsia="仿宋" w:cs="仿宋"/>
          <w:sz w:val="32"/>
          <w:szCs w:val="32"/>
        </w:rPr>
        <w:t>明确了工作职责和工作规则，建立了会议制度和联络员制度；市政府分管领导及时听取政务公开工作汇报并</w:t>
      </w:r>
      <w:r>
        <w:rPr>
          <w:rFonts w:hint="eastAsia" w:ascii="仿宋" w:hAnsi="仿宋" w:eastAsia="仿宋" w:cs="仿宋"/>
          <w:sz w:val="32"/>
          <w:szCs w:val="32"/>
          <w:lang w:eastAsia="zh-CN"/>
        </w:rPr>
        <w:t>多次</w:t>
      </w:r>
      <w:r>
        <w:rPr>
          <w:rFonts w:hint="eastAsia" w:ascii="仿宋" w:hAnsi="仿宋" w:eastAsia="仿宋" w:cs="仿宋"/>
          <w:sz w:val="32"/>
          <w:szCs w:val="32"/>
        </w:rPr>
        <w:t>作出批示指示</w:t>
      </w:r>
      <w:r>
        <w:rPr>
          <w:rFonts w:hint="eastAsia" w:ascii="仿宋" w:hAnsi="仿宋" w:eastAsia="仿宋" w:cs="仿宋"/>
          <w:sz w:val="32"/>
          <w:szCs w:val="32"/>
          <w:lang w:eastAsia="zh-CN"/>
        </w:rPr>
        <w:t>，</w:t>
      </w:r>
      <w:r>
        <w:rPr>
          <w:rFonts w:hint="eastAsia" w:ascii="仿宋" w:hAnsi="仿宋" w:eastAsia="仿宋" w:cs="仿宋"/>
          <w:sz w:val="32"/>
          <w:szCs w:val="32"/>
        </w:rPr>
        <w:t>全市形成了领导重视、机构</w:t>
      </w:r>
      <w:r>
        <w:rPr>
          <w:rFonts w:hint="eastAsia" w:ascii="仿宋" w:hAnsi="仿宋" w:eastAsia="仿宋" w:cs="仿宋"/>
          <w:sz w:val="32"/>
          <w:szCs w:val="32"/>
          <w:lang w:eastAsia="zh-CN"/>
        </w:rPr>
        <w:t>明确</w:t>
      </w:r>
      <w:r>
        <w:rPr>
          <w:rFonts w:hint="eastAsia" w:ascii="仿宋" w:hAnsi="仿宋" w:eastAsia="仿宋" w:cs="仿宋"/>
          <w:sz w:val="32"/>
          <w:szCs w:val="32"/>
        </w:rPr>
        <w:t>、协调有力的政务公开</w:t>
      </w:r>
      <w:r>
        <w:rPr>
          <w:rFonts w:hint="eastAsia" w:ascii="仿宋" w:hAnsi="仿宋" w:eastAsia="仿宋" w:cs="仿宋"/>
          <w:sz w:val="32"/>
          <w:szCs w:val="32"/>
          <w:lang w:eastAsia="zh-CN"/>
        </w:rPr>
        <w:t>工作体</w:t>
      </w:r>
      <w:r>
        <w:rPr>
          <w:rFonts w:hint="eastAsia" w:ascii="仿宋" w:hAnsi="仿宋" w:eastAsia="仿宋" w:cs="仿宋"/>
          <w:sz w:val="32"/>
          <w:szCs w:val="32"/>
        </w:rPr>
        <w:t>制。</w:t>
      </w:r>
    </w:p>
    <w:p>
      <w:pPr>
        <w:ind w:firstLine="640" w:firstLineChars="200"/>
        <w:rPr>
          <w:rFonts w:hint="eastAsia" w:ascii="仿宋" w:hAnsi="仿宋" w:eastAsia="仿宋" w:cs="仿宋"/>
          <w:sz w:val="32"/>
          <w:szCs w:val="32"/>
        </w:rPr>
      </w:pPr>
      <w:r>
        <w:rPr>
          <w:rFonts w:hint="eastAsia" w:ascii="楷体" w:hAnsi="楷体" w:eastAsia="楷体" w:cs="楷体"/>
          <w:sz w:val="32"/>
          <w:szCs w:val="32"/>
        </w:rPr>
        <w:t>二是加强部署推动。</w:t>
      </w:r>
      <w:r>
        <w:rPr>
          <w:rFonts w:hint="eastAsia" w:ascii="仿宋" w:hAnsi="仿宋" w:eastAsia="仿宋" w:cs="仿宋"/>
          <w:sz w:val="32"/>
          <w:szCs w:val="32"/>
        </w:rPr>
        <w:t>认真落实国家、省年度公开要点，制定了《2019年淄博市政务公开工作方案》及《2019年淄博市政务公开工作主要任务分解表》，由市政府办公室以淄政办发〔2019〕5号文件印发，对全市政务公开工作进行安排部署；市委市政府两办印发《关于实现“开门决策”</w:t>
      </w:r>
    </w:p>
    <w:p>
      <w:pPr>
        <w:rPr>
          <w:rFonts w:hint="eastAsia" w:ascii="仿宋" w:hAnsi="仿宋" w:eastAsia="仿宋" w:cs="仿宋"/>
          <w:sz w:val="32"/>
          <w:szCs w:val="32"/>
        </w:rPr>
      </w:pPr>
      <w:r>
        <w:rPr>
          <w:rFonts w:hint="eastAsia" w:ascii="仿宋" w:hAnsi="仿宋" w:eastAsia="仿宋" w:cs="仿宋"/>
          <w:sz w:val="32"/>
          <w:szCs w:val="32"/>
        </w:rPr>
        <w:br w:type="page"/>
      </w:r>
    </w:p>
    <w:p>
      <w:pPr>
        <w:rPr>
          <w:rFonts w:ascii="仿宋" w:hAnsi="仿宋" w:eastAsia="仿宋" w:cs="仿宋"/>
          <w:sz w:val="32"/>
          <w:szCs w:val="32"/>
        </w:rPr>
      </w:pPr>
      <w:r>
        <w:drawing>
          <wp:anchor distT="0" distB="0" distL="114300" distR="114300" simplePos="0" relativeHeight="251664384" behindDoc="1" locked="0" layoutInCell="1" allowOverlap="1">
            <wp:simplePos x="0" y="0"/>
            <wp:positionH relativeFrom="column">
              <wp:posOffset>-71755</wp:posOffset>
            </wp:positionH>
            <wp:positionV relativeFrom="paragraph">
              <wp:posOffset>737235</wp:posOffset>
            </wp:positionV>
            <wp:extent cx="2459355" cy="3067050"/>
            <wp:effectExtent l="9525" t="9525" r="64770" b="66675"/>
            <wp:wrapTight wrapText="bothSides">
              <wp:wrapPolygon>
                <wp:start x="-84" y="-67"/>
                <wp:lineTo x="-84" y="21533"/>
                <wp:lineTo x="21500" y="21533"/>
                <wp:lineTo x="21500" y="-67"/>
                <wp:lineTo x="-84" y="-67"/>
              </wp:wrapPolygon>
            </wp:wrapTight>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2459355" cy="3067050"/>
                    </a:xfrm>
                    <a:prstGeom prst="rect">
                      <a:avLst/>
                    </a:prstGeom>
                    <a:noFill/>
                    <a:ln>
                      <a:solidFill>
                        <a:srgbClr val="0000FF"/>
                      </a:solidFill>
                    </a:ln>
                  </pic:spPr>
                </pic:pic>
              </a:graphicData>
            </a:graphic>
          </wp:anchor>
        </w:drawing>
      </w:r>
      <w:r>
        <w:rPr>
          <w:rFonts w:hint="eastAsia" w:ascii="仿宋" w:hAnsi="仿宋" w:eastAsia="仿宋" w:cs="仿宋"/>
          <w:sz w:val="32"/>
          <w:szCs w:val="32"/>
        </w:rPr>
        <w:t>制度化的实施意见》，对决策公开进行落实</w:t>
      </w:r>
      <w:r>
        <w:rPr>
          <w:rFonts w:hint="eastAsia" w:ascii="仿宋" w:hAnsi="仿宋" w:eastAsia="仿宋" w:cs="仿宋"/>
          <w:sz w:val="32"/>
          <w:szCs w:val="32"/>
          <w:lang w:eastAsia="zh-CN"/>
        </w:rPr>
        <w:t>推动</w:t>
      </w:r>
      <w:r>
        <w:rPr>
          <w:rFonts w:hint="eastAsia" w:ascii="仿宋" w:hAnsi="仿宋" w:eastAsia="仿宋" w:cs="仿宋"/>
          <w:sz w:val="32"/>
          <w:szCs w:val="32"/>
        </w:rPr>
        <w:t>；市政府印发《关于贯彻落实鲁政发〔2019〕10号文件做好市场监管领域部门联合“双随机、一公开”监管工作的通知》（淄政发[2019]12号），对管理公开进行部署落实；市政府办公室印发《关于实施流程再造推进“一窗受理·一次办好”改革的实施意见》（淄政办字〔2019〕75号），对服务公开进行落实；各级各部门</w:t>
      </w:r>
      <w:r>
        <w:rPr>
          <w:rFonts w:hint="eastAsia" w:ascii="仿宋" w:hAnsi="仿宋" w:eastAsia="仿宋" w:cs="仿宋"/>
          <w:sz w:val="32"/>
          <w:szCs w:val="32"/>
          <w:lang w:eastAsia="zh-CN"/>
        </w:rPr>
        <w:t>通过各种形式</w:t>
      </w:r>
      <w:r>
        <w:rPr>
          <w:rFonts w:hint="eastAsia" w:ascii="仿宋" w:hAnsi="仿宋" w:eastAsia="仿宋" w:cs="仿宋"/>
          <w:sz w:val="32"/>
          <w:szCs w:val="32"/>
        </w:rPr>
        <w:t>围绕政府工作报告、新旧动能转换、扶贫、环保等</w:t>
      </w:r>
      <w:r>
        <w:rPr>
          <w:rFonts w:hint="eastAsia" w:ascii="仿宋" w:hAnsi="仿宋" w:eastAsia="仿宋" w:cs="仿宋"/>
          <w:sz w:val="32"/>
          <w:szCs w:val="32"/>
          <w:lang w:eastAsia="zh-CN"/>
        </w:rPr>
        <w:t>重要部署和</w:t>
      </w:r>
      <w:r>
        <w:rPr>
          <w:rFonts w:hint="eastAsia" w:ascii="仿宋" w:hAnsi="仿宋" w:eastAsia="仿宋" w:cs="仿宋"/>
          <w:sz w:val="32"/>
          <w:szCs w:val="32"/>
        </w:rPr>
        <w:t>重点工作及时公开执行落实情况和结果。</w:t>
      </w:r>
    </w:p>
    <w:p>
      <w:pPr>
        <w:ind w:firstLine="420" w:firstLineChars="200"/>
        <w:rPr>
          <w:rFonts w:ascii="仿宋" w:hAnsi="仿宋" w:eastAsia="仿宋" w:cs="仿宋"/>
          <w:sz w:val="32"/>
          <w:szCs w:val="32"/>
        </w:rPr>
      </w:pPr>
      <w:r>
        <w:drawing>
          <wp:anchor distT="0" distB="0" distL="114300" distR="114300" simplePos="0" relativeHeight="270430208" behindDoc="1" locked="0" layoutInCell="1" allowOverlap="1">
            <wp:simplePos x="0" y="0"/>
            <wp:positionH relativeFrom="column">
              <wp:posOffset>3592830</wp:posOffset>
            </wp:positionH>
            <wp:positionV relativeFrom="paragraph">
              <wp:posOffset>1132840</wp:posOffset>
            </wp:positionV>
            <wp:extent cx="2512695" cy="3161665"/>
            <wp:effectExtent l="9525" t="9525" r="11430" b="10160"/>
            <wp:wrapTight wrapText="bothSides">
              <wp:wrapPolygon>
                <wp:start x="-82" y="-65"/>
                <wp:lineTo x="-82" y="21539"/>
                <wp:lineTo x="21534" y="21539"/>
                <wp:lineTo x="21534" y="-65"/>
                <wp:lineTo x="-82" y="-65"/>
              </wp:wrapPolygon>
            </wp:wrapTight>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5"/>
                    <a:stretch>
                      <a:fillRect/>
                    </a:stretch>
                  </pic:blipFill>
                  <pic:spPr>
                    <a:xfrm>
                      <a:off x="0" y="0"/>
                      <a:ext cx="2512695" cy="3161665"/>
                    </a:xfrm>
                    <a:prstGeom prst="rect">
                      <a:avLst/>
                    </a:prstGeom>
                    <a:noFill/>
                    <a:ln>
                      <a:solidFill>
                        <a:srgbClr val="0000FF"/>
                      </a:solidFill>
                    </a:ln>
                  </pic:spPr>
                </pic:pic>
              </a:graphicData>
            </a:graphic>
          </wp:anchor>
        </w:drawing>
      </w:r>
      <w:r>
        <w:rPr>
          <w:rFonts w:hint="eastAsia" w:ascii="楷体" w:hAnsi="楷体" w:eastAsia="楷体" w:cs="楷体"/>
          <w:sz w:val="32"/>
          <w:szCs w:val="32"/>
        </w:rPr>
        <w:t>三是加强监督考核。</w:t>
      </w:r>
      <w:r>
        <w:rPr>
          <w:rFonts w:hint="eastAsia" w:ascii="仿宋" w:hAnsi="仿宋" w:eastAsia="仿宋" w:cs="仿宋"/>
          <w:sz w:val="32"/>
          <w:szCs w:val="32"/>
        </w:rPr>
        <w:t>年初完成</w:t>
      </w:r>
      <w:r>
        <w:rPr>
          <w:rFonts w:hint="eastAsia" w:ascii="仿宋" w:hAnsi="仿宋" w:eastAsia="仿宋" w:cs="仿宋"/>
          <w:sz w:val="32"/>
          <w:szCs w:val="32"/>
          <w:lang w:val="en-US" w:eastAsia="zh-CN"/>
        </w:rPr>
        <w:t>2018</w:t>
      </w:r>
      <w:r>
        <w:rPr>
          <w:rFonts w:hint="eastAsia" w:ascii="仿宋" w:hAnsi="仿宋" w:eastAsia="仿宋" w:cs="仿宋"/>
          <w:sz w:val="32"/>
          <w:szCs w:val="32"/>
        </w:rPr>
        <w:t>年度全市政务公开评估考核，考核成绩纳入市对区县的综合考核和对</w:t>
      </w:r>
      <w:r>
        <w:rPr>
          <w:rFonts w:hint="eastAsia" w:ascii="仿宋" w:hAnsi="仿宋" w:eastAsia="仿宋" w:cs="仿宋"/>
          <w:sz w:val="32"/>
          <w:szCs w:val="32"/>
          <w:lang w:eastAsia="zh-CN"/>
        </w:rPr>
        <w:t>市政府</w:t>
      </w:r>
      <w:r>
        <w:rPr>
          <w:rFonts w:hint="eastAsia" w:ascii="仿宋" w:hAnsi="仿宋" w:eastAsia="仿宋" w:cs="仿宋"/>
          <w:sz w:val="32"/>
          <w:szCs w:val="32"/>
        </w:rPr>
        <w:t>部门的绩效考核成绩</w:t>
      </w:r>
      <w:r>
        <w:rPr>
          <w:rFonts w:hint="eastAsia" w:ascii="仿宋" w:hAnsi="仿宋" w:eastAsia="仿宋" w:cs="仿宋"/>
          <w:sz w:val="32"/>
          <w:szCs w:val="32"/>
          <w:lang w:eastAsia="zh-CN"/>
        </w:rPr>
        <w:t>，三方评估报告向社会公开以接受监督，存在的问题逐一反馈责任单位予以整改</w:t>
      </w:r>
      <w:r>
        <w:rPr>
          <w:rFonts w:hint="eastAsia" w:ascii="仿宋" w:hAnsi="仿宋" w:eastAsia="仿宋" w:cs="仿宋"/>
          <w:sz w:val="32"/>
          <w:szCs w:val="32"/>
        </w:rPr>
        <w:t>；要求市政府各部门对照《2019年淄博市政务公开主要任务分解表》制定了落实措施和责任人</w:t>
      </w:r>
      <w:r>
        <w:rPr>
          <w:rFonts w:hint="eastAsia" w:ascii="仿宋" w:hAnsi="仿宋" w:eastAsia="仿宋" w:cs="仿宋"/>
          <w:sz w:val="32"/>
          <w:szCs w:val="32"/>
          <w:lang w:eastAsia="zh-CN"/>
        </w:rPr>
        <w:t>并调度落实</w:t>
      </w:r>
      <w:r>
        <w:rPr>
          <w:rFonts w:hint="eastAsia" w:ascii="仿宋" w:hAnsi="仿宋" w:eastAsia="仿宋" w:cs="仿宋"/>
          <w:sz w:val="32"/>
          <w:szCs w:val="32"/>
        </w:rPr>
        <w:t>；加强对各级各部门的日常检查和监督，及时反馈存在的问题</w:t>
      </w:r>
      <w:r>
        <w:rPr>
          <w:rFonts w:hint="eastAsia" w:ascii="仿宋" w:hAnsi="仿宋" w:eastAsia="仿宋" w:cs="仿宋"/>
          <w:sz w:val="32"/>
          <w:szCs w:val="32"/>
          <w:lang w:eastAsia="zh-CN"/>
        </w:rPr>
        <w:t>并督促整改</w:t>
      </w:r>
      <w:r>
        <w:rPr>
          <w:rFonts w:hint="eastAsia" w:ascii="仿宋" w:hAnsi="仿宋" w:eastAsia="仿宋" w:cs="仿宋"/>
          <w:sz w:val="32"/>
          <w:szCs w:val="32"/>
        </w:rPr>
        <w:t>；继续将政务公开列为</w:t>
      </w:r>
      <w:r>
        <w:rPr>
          <w:rFonts w:hint="eastAsia" w:ascii="仿宋" w:hAnsi="仿宋" w:eastAsia="仿宋" w:cs="仿宋"/>
          <w:sz w:val="32"/>
          <w:szCs w:val="32"/>
          <w:lang w:val="en-US" w:eastAsia="zh-CN"/>
        </w:rPr>
        <w:t>2019年度对</w:t>
      </w:r>
      <w:r>
        <w:rPr>
          <w:rFonts w:hint="eastAsia" w:ascii="仿宋" w:hAnsi="仿宋" w:eastAsia="仿宋" w:cs="仿宋"/>
          <w:sz w:val="32"/>
          <w:szCs w:val="32"/>
        </w:rPr>
        <w:t>市级部门的绩效考核指标，占比</w:t>
      </w:r>
      <w:r>
        <w:rPr>
          <w:rFonts w:hint="eastAsia" w:ascii="仿宋" w:hAnsi="仿宋" w:eastAsia="仿宋" w:cs="仿宋"/>
          <w:sz w:val="32"/>
          <w:szCs w:val="32"/>
          <w:lang w:eastAsia="zh-CN"/>
        </w:rPr>
        <w:t>为</w:t>
      </w:r>
      <w:r>
        <w:rPr>
          <w:rFonts w:hint="eastAsia" w:ascii="仿宋" w:hAnsi="仿宋" w:eastAsia="仿宋" w:cs="仿宋"/>
          <w:sz w:val="32"/>
          <w:szCs w:val="32"/>
        </w:rPr>
        <w:t>4%</w:t>
      </w:r>
      <w:r>
        <w:rPr>
          <w:rFonts w:hint="eastAsia" w:ascii="仿宋" w:hAnsi="仿宋" w:eastAsia="仿宋" w:cs="仿宋"/>
          <w:sz w:val="32"/>
          <w:szCs w:val="32"/>
          <w:lang w:eastAsia="zh-CN"/>
        </w:rPr>
        <w:t>，达到国家和省要求的权重。</w:t>
      </w:r>
    </w:p>
    <w:p>
      <w:pPr>
        <w:rPr>
          <w:rFonts w:hint="eastAsia" w:ascii="宋体" w:hAnsi="宋体" w:eastAsia="宋体" w:cs="宋体"/>
          <w:b/>
          <w:bCs/>
          <w:sz w:val="32"/>
          <w:szCs w:val="32"/>
        </w:rPr>
      </w:pPr>
      <w:r>
        <w:rPr>
          <w:rFonts w:hint="eastAsia" w:ascii="宋体" w:hAnsi="宋体" w:eastAsia="宋体" w:cs="宋体"/>
          <w:b/>
          <w:bCs/>
          <w:sz w:val="32"/>
          <w:szCs w:val="32"/>
        </w:rPr>
        <w:br w:type="page"/>
      </w:r>
    </w:p>
    <w:p>
      <w:pPr>
        <w:ind w:firstLine="643" w:firstLineChars="200"/>
        <w:rPr>
          <w:rFonts w:ascii="宋体" w:hAnsi="宋体" w:eastAsia="宋体" w:cs="宋体"/>
          <w:b/>
          <w:bCs/>
          <w:sz w:val="32"/>
          <w:szCs w:val="32"/>
        </w:rPr>
      </w:pPr>
      <w:r>
        <w:rPr>
          <w:rFonts w:hint="eastAsia" w:ascii="宋体" w:hAnsi="宋体" w:eastAsia="宋体" w:cs="宋体"/>
          <w:b/>
          <w:bCs/>
          <w:sz w:val="32"/>
          <w:szCs w:val="32"/>
        </w:rPr>
        <w:t>（二）夯实工作基础</w:t>
      </w:r>
    </w:p>
    <w:p>
      <w:pPr>
        <w:keepNext w:val="0"/>
        <w:keepLines w:val="0"/>
        <w:pageBreakBefore w:val="0"/>
        <w:widowControl w:val="0"/>
        <w:kinsoku/>
        <w:wordWrap w:val="0"/>
        <w:overflowPunct/>
        <w:topLinePunct w:val="0"/>
        <w:autoSpaceDE/>
        <w:autoSpaceDN/>
        <w:bidi w:val="0"/>
        <w:adjustRightInd/>
        <w:snapToGrid/>
        <w:ind w:firstLine="840" w:firstLineChars="400"/>
        <w:textAlignment w:val="auto"/>
        <w:rPr>
          <w:rFonts w:hint="eastAsia" w:ascii="仿宋" w:hAnsi="仿宋" w:eastAsia="仿宋" w:cs="仿宋"/>
          <w:sz w:val="32"/>
          <w:szCs w:val="32"/>
          <w:lang w:eastAsia="zh-CN"/>
        </w:rPr>
      </w:pPr>
      <w:r>
        <w:drawing>
          <wp:anchor distT="0" distB="0" distL="114300" distR="114300" simplePos="0" relativeHeight="251834368" behindDoc="1" locked="0" layoutInCell="1" allowOverlap="1">
            <wp:simplePos x="0" y="0"/>
            <wp:positionH relativeFrom="column">
              <wp:posOffset>2176145</wp:posOffset>
            </wp:positionH>
            <wp:positionV relativeFrom="paragraph">
              <wp:posOffset>4981575</wp:posOffset>
            </wp:positionV>
            <wp:extent cx="4060825" cy="3077845"/>
            <wp:effectExtent l="9525" t="9525" r="25400" b="17780"/>
            <wp:wrapTight wrapText="bothSides">
              <wp:wrapPolygon>
                <wp:start x="-51" y="-67"/>
                <wp:lineTo x="-51" y="21591"/>
                <wp:lineTo x="21532" y="21591"/>
                <wp:lineTo x="21532" y="-67"/>
                <wp:lineTo x="-51" y="-67"/>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a:stretch>
                      <a:fillRect/>
                    </a:stretch>
                  </pic:blipFill>
                  <pic:spPr>
                    <a:xfrm>
                      <a:off x="0" y="0"/>
                      <a:ext cx="4060825" cy="3077845"/>
                    </a:xfrm>
                    <a:prstGeom prst="rect">
                      <a:avLst/>
                    </a:prstGeom>
                    <a:noFill/>
                    <a:ln>
                      <a:solidFill>
                        <a:srgbClr val="0000FF"/>
                      </a:solidFill>
                    </a:ln>
                  </pic:spPr>
                </pic:pic>
              </a:graphicData>
            </a:graphic>
          </wp:anchor>
        </w:drawing>
      </w:r>
      <w:r>
        <w:drawing>
          <wp:anchor distT="0" distB="0" distL="114300" distR="114300" simplePos="0" relativeHeight="251668480" behindDoc="1" locked="0" layoutInCell="1" allowOverlap="1">
            <wp:simplePos x="0" y="0"/>
            <wp:positionH relativeFrom="column">
              <wp:posOffset>3237865</wp:posOffset>
            </wp:positionH>
            <wp:positionV relativeFrom="paragraph">
              <wp:posOffset>1243330</wp:posOffset>
            </wp:positionV>
            <wp:extent cx="3237865" cy="2948940"/>
            <wp:effectExtent l="9525" t="9525" r="10160" b="13335"/>
            <wp:wrapTight wrapText="bothSides">
              <wp:wrapPolygon>
                <wp:start x="-64" y="-70"/>
                <wp:lineTo x="-64" y="21558"/>
                <wp:lineTo x="21541" y="21558"/>
                <wp:lineTo x="21541" y="-70"/>
                <wp:lineTo x="-64" y="-7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stretch>
                      <a:fillRect/>
                    </a:stretch>
                  </pic:blipFill>
                  <pic:spPr>
                    <a:xfrm>
                      <a:off x="0" y="0"/>
                      <a:ext cx="3237865" cy="2948940"/>
                    </a:xfrm>
                    <a:prstGeom prst="rect">
                      <a:avLst/>
                    </a:prstGeom>
                    <a:noFill/>
                    <a:ln>
                      <a:solidFill>
                        <a:srgbClr val="0000FF"/>
                      </a:solidFill>
                    </a:ln>
                  </pic:spPr>
                </pic:pic>
              </a:graphicData>
            </a:graphic>
          </wp:anchor>
        </w:drawing>
      </w:r>
      <w:r>
        <w:rPr>
          <w:rFonts w:hint="eastAsia" w:ascii="楷体" w:hAnsi="楷体" w:eastAsia="楷体" w:cs="楷体"/>
          <w:sz w:val="32"/>
          <w:szCs w:val="32"/>
        </w:rPr>
        <w:t>一是加强平台建设。</w:t>
      </w:r>
      <w:r>
        <w:rPr>
          <w:rFonts w:hint="eastAsia" w:ascii="仿宋" w:hAnsi="仿宋" w:eastAsia="仿宋" w:cs="仿宋"/>
          <w:sz w:val="32"/>
          <w:szCs w:val="32"/>
        </w:rPr>
        <w:t>根据机构改革和职能转变，完成了市政府部门网站的新建、整合、迁移、改版，截</w:t>
      </w:r>
      <w:r>
        <w:rPr>
          <w:rFonts w:hint="eastAsia" w:ascii="仿宋" w:hAnsi="仿宋" w:eastAsia="仿宋" w:cs="仿宋"/>
          <w:sz w:val="32"/>
          <w:szCs w:val="32"/>
          <w:lang w:eastAsia="zh-CN"/>
        </w:rPr>
        <w:t>至年底</w:t>
      </w:r>
      <w:r>
        <w:rPr>
          <w:rFonts w:hint="eastAsia" w:ascii="仿宋" w:hAnsi="仿宋" w:eastAsia="仿宋" w:cs="仿宋"/>
          <w:sz w:val="32"/>
          <w:szCs w:val="32"/>
        </w:rPr>
        <w:t>，</w:t>
      </w:r>
      <w:r>
        <w:rPr>
          <w:rFonts w:hint="eastAsia" w:ascii="仿宋" w:hAnsi="仿宋" w:eastAsia="仿宋" w:cs="仿宋"/>
          <w:sz w:val="32"/>
          <w:szCs w:val="32"/>
          <w:lang w:eastAsia="zh-CN"/>
        </w:rPr>
        <w:t>全</w:t>
      </w:r>
      <w:r>
        <w:rPr>
          <w:rFonts w:hint="eastAsia" w:ascii="仿宋" w:hAnsi="仿宋" w:eastAsia="仿宋" w:cs="仿宋"/>
          <w:sz w:val="32"/>
          <w:szCs w:val="32"/>
        </w:rPr>
        <w:t>市共有政府网站5</w:t>
      </w:r>
      <w:r>
        <w:rPr>
          <w:rFonts w:hint="eastAsia" w:ascii="仿宋" w:hAnsi="仿宋" w:eastAsia="仿宋" w:cs="仿宋"/>
          <w:sz w:val="32"/>
          <w:szCs w:val="32"/>
          <w:lang w:val="en-US" w:eastAsia="zh-CN"/>
        </w:rPr>
        <w:t>4</w:t>
      </w:r>
      <w:r>
        <w:rPr>
          <w:rFonts w:hint="eastAsia" w:ascii="仿宋" w:hAnsi="仿宋" w:eastAsia="仿宋" w:cs="仿宋"/>
          <w:sz w:val="32"/>
          <w:szCs w:val="32"/>
        </w:rPr>
        <w:t>家,其中市政府门户网站1家，区县</w:t>
      </w:r>
      <w:r>
        <w:rPr>
          <w:rFonts w:hint="eastAsia" w:ascii="仿宋" w:hAnsi="仿宋" w:eastAsia="仿宋" w:cs="仿宋"/>
          <w:sz w:val="32"/>
          <w:szCs w:val="32"/>
          <w:lang w:eastAsia="zh-CN"/>
        </w:rPr>
        <w:t>政府</w:t>
      </w:r>
      <w:r>
        <w:rPr>
          <w:rFonts w:hint="eastAsia" w:ascii="仿宋" w:hAnsi="仿宋" w:eastAsia="仿宋" w:cs="仿宋"/>
          <w:sz w:val="32"/>
          <w:szCs w:val="32"/>
        </w:rPr>
        <w:t>门户网站1</w:t>
      </w:r>
      <w:r>
        <w:rPr>
          <w:rFonts w:hint="eastAsia" w:ascii="仿宋" w:hAnsi="仿宋" w:eastAsia="仿宋" w:cs="仿宋"/>
          <w:sz w:val="32"/>
          <w:szCs w:val="32"/>
          <w:lang w:val="en-US" w:eastAsia="zh-CN"/>
        </w:rPr>
        <w:t>1</w:t>
      </w:r>
      <w:r>
        <w:rPr>
          <w:rFonts w:hint="eastAsia" w:ascii="仿宋" w:hAnsi="仿宋" w:eastAsia="仿宋" w:cs="仿宋"/>
          <w:sz w:val="32"/>
          <w:szCs w:val="32"/>
        </w:rPr>
        <w:t>家，市</w:t>
      </w:r>
      <w:r>
        <w:rPr>
          <w:rFonts w:hint="eastAsia" w:ascii="仿宋" w:hAnsi="仿宋" w:eastAsia="仿宋" w:cs="仿宋"/>
          <w:sz w:val="32"/>
          <w:szCs w:val="32"/>
          <w:lang w:eastAsia="zh-CN"/>
        </w:rPr>
        <w:t>级</w:t>
      </w:r>
      <w:r>
        <w:rPr>
          <w:rFonts w:hint="eastAsia" w:ascii="仿宋" w:hAnsi="仿宋" w:eastAsia="仿宋" w:cs="仿宋"/>
          <w:sz w:val="32"/>
          <w:szCs w:val="32"/>
        </w:rPr>
        <w:t>部门网站42家</w:t>
      </w:r>
      <w:r>
        <w:rPr>
          <w:rFonts w:hint="eastAsia" w:ascii="仿宋" w:hAnsi="仿宋" w:eastAsia="仿宋" w:cs="仿宋"/>
          <w:sz w:val="32"/>
          <w:szCs w:val="32"/>
          <w:lang w:eastAsia="zh-CN"/>
        </w:rPr>
        <w:t>，各网站主办单位每年发布上年度政府网站工作年度报表</w:t>
      </w:r>
      <w:r>
        <w:rPr>
          <w:rFonts w:hint="eastAsia" w:ascii="仿宋" w:hAnsi="仿宋" w:eastAsia="仿宋" w:cs="仿宋"/>
          <w:sz w:val="32"/>
          <w:szCs w:val="32"/>
        </w:rPr>
        <w:t>；常态化召开新闻发布会，全年共召开新闻发布会63场，其中市政府新闻办召开新闻发布会43场，市政府部门单位召开新闻发布5场，区县召开新闻发布15场，诚信红黑榜发布会等成为例行发布会，定期按</w:t>
      </w:r>
      <w:r>
        <w:rPr>
          <w:rFonts w:hint="eastAsia" w:ascii="仿宋" w:hAnsi="仿宋" w:eastAsia="仿宋" w:cs="仿宋"/>
          <w:sz w:val="32"/>
          <w:szCs w:val="32"/>
          <w:lang w:eastAsia="zh-CN"/>
        </w:rPr>
        <w:t>时</w:t>
      </w:r>
      <w:r>
        <w:rPr>
          <w:rFonts w:hint="eastAsia" w:ascii="仿宋" w:hAnsi="仿宋" w:eastAsia="仿宋" w:cs="仿宋"/>
          <w:sz w:val="32"/>
          <w:szCs w:val="32"/>
        </w:rPr>
        <w:t>召开；将微博、微信、客户端作为政务公开的有效渠道加以推广应用，努力扩大政府信息受众面，截</w:t>
      </w:r>
      <w:r>
        <w:rPr>
          <w:rFonts w:hint="eastAsia" w:ascii="仿宋" w:hAnsi="仿宋" w:eastAsia="仿宋" w:cs="仿宋"/>
          <w:sz w:val="32"/>
          <w:szCs w:val="32"/>
          <w:lang w:eastAsia="zh-CN"/>
        </w:rPr>
        <w:t>至年底</w:t>
      </w:r>
      <w:r>
        <w:rPr>
          <w:rFonts w:hint="eastAsia" w:ascii="仿宋" w:hAnsi="仿宋" w:eastAsia="仿宋" w:cs="仿宋"/>
          <w:sz w:val="32"/>
          <w:szCs w:val="32"/>
        </w:rPr>
        <w:t>，</w:t>
      </w:r>
      <w:r>
        <w:rPr>
          <w:rFonts w:hint="eastAsia" w:ascii="仿宋" w:hAnsi="仿宋" w:eastAsia="仿宋" w:cs="仿宋"/>
          <w:sz w:val="32"/>
          <w:szCs w:val="32"/>
          <w:lang w:eastAsia="zh-CN"/>
        </w:rPr>
        <w:t>全</w:t>
      </w:r>
      <w:r>
        <w:rPr>
          <w:rFonts w:hint="eastAsia" w:ascii="仿宋" w:hAnsi="仿宋" w:eastAsia="仿宋" w:cs="仿宋"/>
          <w:sz w:val="32"/>
          <w:szCs w:val="32"/>
        </w:rPr>
        <w:t>市共有268家单位开通运行政务新媒体454个；加大对政府网站和政务新媒体监管力度，每季度公开通报抽查情况，促进整改提升</w:t>
      </w:r>
      <w:r>
        <w:rPr>
          <w:rFonts w:hint="eastAsia" w:ascii="仿宋" w:hAnsi="仿宋" w:eastAsia="仿宋" w:cs="仿宋"/>
          <w:sz w:val="32"/>
          <w:szCs w:val="32"/>
          <w:lang w:eastAsia="zh-CN"/>
        </w:rPr>
        <w:t>；加强信息查阅场所建设，</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keepNext w:val="0"/>
        <w:keepLines w:val="0"/>
        <w:pageBreakBefore w:val="0"/>
        <w:widowControl w:val="0"/>
        <w:kinsoku/>
        <w:wordWrap/>
        <w:overflowPunct/>
        <w:topLinePunct w:val="0"/>
        <w:autoSpaceDE/>
        <w:autoSpaceDN/>
        <w:bidi w:val="0"/>
        <w:adjustRightInd/>
        <w:snapToGrid/>
        <w:textAlignment w:val="auto"/>
        <w:rPr>
          <w:rFonts w:ascii="仿宋" w:hAnsi="仿宋" w:eastAsia="仿宋" w:cs="仿宋"/>
          <w:b/>
          <w:bCs/>
          <w:sz w:val="32"/>
          <w:szCs w:val="32"/>
        </w:rPr>
      </w:pPr>
      <w:r>
        <w:rPr>
          <w:rFonts w:hint="eastAsia" w:ascii="仿宋" w:hAnsi="仿宋" w:eastAsia="仿宋" w:cs="仿宋"/>
          <w:sz w:val="32"/>
          <w:szCs w:val="32"/>
          <w:lang w:eastAsia="zh-CN"/>
        </w:rPr>
        <w:t>在市政务服务中心、市图书馆设置</w:t>
      </w:r>
      <w:r>
        <w:rPr>
          <w:rFonts w:hint="eastAsia" w:ascii="仿宋" w:hAnsi="仿宋" w:eastAsia="仿宋" w:cs="仿宋"/>
          <w:sz w:val="32"/>
          <w:szCs w:val="32"/>
          <w:lang w:val="en-US" w:eastAsia="zh-CN"/>
        </w:rPr>
        <w:t>2处政务公开体验区，各单位资料室均设置为政府信息查阅点。</w:t>
      </w:r>
      <w:r>
        <w:rPr>
          <w:rFonts w:ascii="宋体" w:hAnsi="宋体" w:eastAsia="宋体" w:cs="宋体"/>
          <w:sz w:val="24"/>
          <w:szCs w:val="24"/>
          <w:highlight w:val="none"/>
        </w:rPr>
        <w:drawing>
          <wp:anchor distT="0" distB="0" distL="114300" distR="114300" simplePos="0" relativeHeight="251851776" behindDoc="1" locked="0" layoutInCell="1" allowOverlap="1">
            <wp:simplePos x="0" y="0"/>
            <wp:positionH relativeFrom="column">
              <wp:posOffset>41910</wp:posOffset>
            </wp:positionH>
            <wp:positionV relativeFrom="paragraph">
              <wp:posOffset>482600</wp:posOffset>
            </wp:positionV>
            <wp:extent cx="2365375" cy="3154680"/>
            <wp:effectExtent l="9525" t="9525" r="25400" b="17145"/>
            <wp:wrapTight wrapText="bothSides">
              <wp:wrapPolygon>
                <wp:start x="-87" y="-65"/>
                <wp:lineTo x="-87" y="21587"/>
                <wp:lineTo x="21484" y="21587"/>
                <wp:lineTo x="21484" y="-65"/>
                <wp:lineTo x="-87" y="-65"/>
              </wp:wrapPolygon>
            </wp:wrapTight>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8"/>
                    <a:stretch>
                      <a:fillRect/>
                    </a:stretch>
                  </pic:blipFill>
                  <pic:spPr>
                    <a:xfrm>
                      <a:off x="0" y="0"/>
                      <a:ext cx="2365375" cy="3154680"/>
                    </a:xfrm>
                    <a:prstGeom prst="rect">
                      <a:avLst/>
                    </a:prstGeom>
                    <a:noFill/>
                    <a:ln w="9525" cap="flat" cmpd="sng">
                      <a:solidFill>
                        <a:srgbClr val="0000FF"/>
                      </a:solidFill>
                      <a:prstDash val="solid"/>
                      <a:miter/>
                      <a:headEnd type="none" w="med" len="med"/>
                      <a:tailEnd type="none" w="med" len="med"/>
                    </a:ln>
                  </pic:spPr>
                </pic:pic>
              </a:graphicData>
            </a:graphic>
          </wp:anchor>
        </w:drawing>
      </w:r>
    </w:p>
    <w:p>
      <w:pPr>
        <w:ind w:firstLine="640" w:firstLineChars="200"/>
        <w:rPr>
          <w:rFonts w:ascii="仿宋" w:hAnsi="仿宋" w:eastAsia="仿宋" w:cs="仿宋"/>
          <w:sz w:val="32"/>
          <w:szCs w:val="32"/>
        </w:rPr>
      </w:pPr>
      <w:r>
        <w:rPr>
          <w:rFonts w:hint="eastAsia" w:ascii="楷体" w:hAnsi="楷体" w:eastAsia="楷体" w:cs="楷体"/>
          <w:sz w:val="32"/>
          <w:szCs w:val="32"/>
        </w:rPr>
        <w:t>二是加强</w:t>
      </w:r>
      <w:r>
        <w:rPr>
          <w:rFonts w:hint="eastAsia" w:ascii="楷体" w:hAnsi="楷体" w:eastAsia="楷体" w:cs="楷体"/>
          <w:sz w:val="32"/>
          <w:szCs w:val="32"/>
          <w:lang w:val="en-US" w:eastAsia="zh-CN"/>
        </w:rPr>
        <w:t>宣传</w:t>
      </w:r>
      <w:r>
        <w:rPr>
          <w:rFonts w:hint="eastAsia" w:ascii="楷体" w:hAnsi="楷体" w:eastAsia="楷体" w:cs="楷体"/>
          <w:sz w:val="32"/>
          <w:szCs w:val="32"/>
        </w:rPr>
        <w:t>培训。</w:t>
      </w:r>
      <w:r>
        <w:rPr>
          <w:rFonts w:ascii="仿宋" w:hAnsi="仿宋" w:eastAsia="仿宋" w:cs="仿宋"/>
          <w:sz w:val="32"/>
          <w:szCs w:val="32"/>
        </w:rPr>
        <w:t>新条例正式实施前后，协调有关方面在市政府办公楼、市政务服务</w:t>
      </w:r>
      <w:r>
        <w:rPr>
          <w:rFonts w:hint="eastAsia" w:ascii="仿宋" w:hAnsi="仿宋" w:eastAsia="仿宋" w:cs="仿宋"/>
          <w:sz w:val="32"/>
          <w:szCs w:val="32"/>
          <w:lang w:eastAsia="zh-CN"/>
        </w:rPr>
        <w:t>中心</w:t>
      </w:r>
      <w:r>
        <w:rPr>
          <w:rFonts w:ascii="仿宋" w:hAnsi="仿宋" w:eastAsia="仿宋" w:cs="仿宋"/>
          <w:sz w:val="32"/>
          <w:szCs w:val="32"/>
        </w:rPr>
        <w:t>、市图书馆等处设置宣传标语以强化宣贯氛围；</w:t>
      </w:r>
      <w:r>
        <w:rPr>
          <w:rFonts w:hint="eastAsia" w:ascii="仿宋" w:hAnsi="仿宋" w:eastAsia="仿宋" w:cs="仿宋"/>
          <w:sz w:val="32"/>
          <w:szCs w:val="32"/>
          <w:lang w:eastAsia="zh-CN"/>
        </w:rPr>
        <w:t>组织开展了市、区县两级政务公开业务培训；</w:t>
      </w:r>
      <w:r>
        <w:rPr>
          <w:rFonts w:hint="eastAsia" w:ascii="仿宋" w:hAnsi="仿宋" w:eastAsia="仿宋" w:cs="仿宋"/>
          <w:sz w:val="32"/>
          <w:szCs w:val="32"/>
        </w:rPr>
        <w:t>着重加强对重点领域的</w:t>
      </w:r>
      <w:r>
        <w:rPr>
          <w:rFonts w:hint="eastAsia" w:ascii="仿宋" w:hAnsi="仿宋" w:eastAsia="仿宋" w:cs="仿宋"/>
          <w:sz w:val="32"/>
          <w:szCs w:val="32"/>
          <w:lang w:eastAsia="zh-CN"/>
        </w:rPr>
        <w:t>业务</w:t>
      </w:r>
      <w:r>
        <w:rPr>
          <w:rFonts w:hint="eastAsia" w:ascii="仿宋" w:hAnsi="仿宋" w:eastAsia="仿宋" w:cs="仿宋"/>
          <w:sz w:val="32"/>
          <w:szCs w:val="32"/>
        </w:rPr>
        <w:t>培训，在往年对国土、财政、人社等重点系统专门培训的基础上，年内对全市扶贫系统、水利系统进行了新《条例》宣贯和业务培训</w:t>
      </w:r>
      <w:r>
        <w:rPr>
          <w:rFonts w:hint="eastAsia" w:ascii="仿宋" w:hAnsi="仿宋" w:eastAsia="仿宋" w:cs="仿宋"/>
          <w:sz w:val="32"/>
          <w:szCs w:val="32"/>
          <w:lang w:eastAsia="zh-CN"/>
        </w:rPr>
        <w:t>；各区县普遍开展</w:t>
      </w:r>
      <w:r>
        <w:rPr>
          <w:rFonts w:hint="eastAsia" w:ascii="仿宋" w:hAnsi="仿宋" w:eastAsia="仿宋" w:cs="仿宋"/>
          <w:sz w:val="32"/>
          <w:szCs w:val="32"/>
        </w:rPr>
        <w:t>了公开业务人员培训，临淄区组织全区公开业务人员到西南政法大学进行</w:t>
      </w:r>
      <w:r>
        <w:rPr>
          <w:rFonts w:hint="eastAsia" w:ascii="仿宋" w:hAnsi="仿宋" w:eastAsia="仿宋" w:cs="仿宋"/>
          <w:sz w:val="32"/>
          <w:szCs w:val="32"/>
          <w:lang w:eastAsia="zh-CN"/>
        </w:rPr>
        <w:t>了</w:t>
      </w:r>
      <w:r>
        <w:rPr>
          <w:rFonts w:hint="eastAsia" w:ascii="仿宋" w:hAnsi="仿宋" w:eastAsia="仿宋" w:cs="仿宋"/>
          <w:sz w:val="32"/>
          <w:szCs w:val="32"/>
        </w:rPr>
        <w:t>培训。</w:t>
      </w:r>
    </w:p>
    <w:p>
      <w:pPr>
        <w:ind w:firstLine="420" w:firstLineChars="200"/>
        <w:rPr>
          <w:rFonts w:ascii="仿宋" w:hAnsi="仿宋" w:eastAsia="仿宋" w:cs="仿宋"/>
          <w:sz w:val="32"/>
          <w:szCs w:val="32"/>
        </w:rPr>
      </w:pPr>
      <w:r>
        <w:drawing>
          <wp:anchor distT="0" distB="0" distL="114300" distR="114300" simplePos="0" relativeHeight="269800448" behindDoc="1" locked="0" layoutInCell="1" allowOverlap="1">
            <wp:simplePos x="0" y="0"/>
            <wp:positionH relativeFrom="column">
              <wp:posOffset>2127250</wp:posOffset>
            </wp:positionH>
            <wp:positionV relativeFrom="paragraph">
              <wp:posOffset>1294765</wp:posOffset>
            </wp:positionV>
            <wp:extent cx="3730625" cy="2487295"/>
            <wp:effectExtent l="9525" t="9525" r="12700" b="17780"/>
            <wp:wrapTight wrapText="bothSides">
              <wp:wrapPolygon>
                <wp:start x="-55" y="-83"/>
                <wp:lineTo x="-55" y="21589"/>
                <wp:lineTo x="21563" y="21589"/>
                <wp:lineTo x="21563" y="-83"/>
                <wp:lineTo x="-55" y="-83"/>
              </wp:wrapPolygon>
            </wp:wrapTight>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9"/>
                    <a:stretch>
                      <a:fillRect/>
                    </a:stretch>
                  </pic:blipFill>
                  <pic:spPr>
                    <a:xfrm>
                      <a:off x="0" y="0"/>
                      <a:ext cx="3730625" cy="2487295"/>
                    </a:xfrm>
                    <a:prstGeom prst="rect">
                      <a:avLst/>
                    </a:prstGeom>
                    <a:noFill/>
                    <a:ln>
                      <a:solidFill>
                        <a:srgbClr val="0000FF"/>
                      </a:solidFill>
                    </a:ln>
                  </pic:spPr>
                </pic:pic>
              </a:graphicData>
            </a:graphic>
          </wp:anchor>
        </w:drawing>
      </w:r>
      <w:r>
        <w:rPr>
          <w:rFonts w:hint="eastAsia" w:ascii="楷体" w:hAnsi="楷体" w:eastAsia="楷体" w:cs="楷体"/>
          <w:sz w:val="32"/>
          <w:szCs w:val="32"/>
        </w:rPr>
        <w:t>三是加强业务研讨。</w:t>
      </w:r>
      <w:r>
        <w:rPr>
          <w:rFonts w:hint="eastAsia" w:ascii="仿宋" w:hAnsi="仿宋" w:eastAsia="仿宋" w:cs="仿宋"/>
          <w:sz w:val="32"/>
          <w:szCs w:val="32"/>
          <w:lang w:eastAsia="zh-CN"/>
        </w:rPr>
        <w:t>用好用活</w:t>
      </w:r>
      <w:r>
        <w:rPr>
          <w:rFonts w:hint="eastAsia" w:ascii="仿宋" w:hAnsi="仿宋" w:eastAsia="仿宋" w:cs="仿宋"/>
          <w:sz w:val="32"/>
          <w:szCs w:val="32"/>
        </w:rPr>
        <w:t>全市政务公开工作微信交流群</w:t>
      </w:r>
      <w:r>
        <w:rPr>
          <w:rFonts w:hint="eastAsia" w:ascii="仿宋" w:hAnsi="仿宋" w:eastAsia="仿宋" w:cs="仿宋"/>
          <w:sz w:val="32"/>
          <w:szCs w:val="32"/>
          <w:lang w:eastAsia="zh-CN"/>
        </w:rPr>
        <w:t>，</w:t>
      </w:r>
      <w:r>
        <w:rPr>
          <w:rFonts w:hint="eastAsia" w:ascii="仿宋" w:hAnsi="仿宋" w:eastAsia="仿宋" w:cs="仿宋"/>
          <w:sz w:val="32"/>
          <w:szCs w:val="32"/>
        </w:rPr>
        <w:t>入群人员达到160人</w:t>
      </w:r>
      <w:r>
        <w:rPr>
          <w:rFonts w:hint="eastAsia" w:ascii="仿宋" w:hAnsi="仿宋" w:eastAsia="仿宋" w:cs="仿宋"/>
          <w:sz w:val="32"/>
          <w:szCs w:val="32"/>
          <w:lang w:eastAsia="zh-CN"/>
        </w:rPr>
        <w:t>；</w:t>
      </w:r>
      <w:r>
        <w:rPr>
          <w:rFonts w:hint="eastAsia" w:ascii="仿宋" w:hAnsi="仿宋" w:eastAsia="仿宋" w:cs="仿宋"/>
          <w:sz w:val="32"/>
          <w:szCs w:val="32"/>
        </w:rPr>
        <w:t>及时通过微信工作群、当面会商等方式对工作中的疑点、难点进行沟通交流；与政府法律顾问建立了常年咨询机制，</w:t>
      </w:r>
      <w:r>
        <w:rPr>
          <w:rFonts w:ascii="仿宋" w:hAnsi="仿宋" w:eastAsia="仿宋" w:cs="仿宋"/>
          <w:sz w:val="32"/>
          <w:szCs w:val="32"/>
        </w:rPr>
        <w:t>年内就新《条例》</w:t>
      </w:r>
      <w:r>
        <w:rPr>
          <w:rFonts w:hint="eastAsia" w:ascii="仿宋" w:hAnsi="仿宋" w:eastAsia="仿宋" w:cs="仿宋"/>
          <w:sz w:val="32"/>
          <w:szCs w:val="32"/>
          <w:lang w:eastAsia="zh-CN"/>
        </w:rPr>
        <w:t>政府信息定义中</w:t>
      </w:r>
      <w:r>
        <w:rPr>
          <w:rFonts w:ascii="仿宋" w:hAnsi="仿宋" w:eastAsia="仿宋" w:cs="仿宋"/>
          <w:sz w:val="32"/>
          <w:szCs w:val="32"/>
        </w:rPr>
        <w:t>“行政管理职能”的内涵外延</w:t>
      </w:r>
      <w:r>
        <w:rPr>
          <w:rFonts w:hint="eastAsia" w:ascii="仿宋" w:hAnsi="仿宋" w:eastAsia="仿宋" w:cs="仿宋"/>
          <w:sz w:val="32"/>
          <w:szCs w:val="32"/>
          <w:lang w:eastAsia="zh-CN"/>
        </w:rPr>
        <w:t>界定等重要问题</w:t>
      </w:r>
      <w:r>
        <w:rPr>
          <w:rFonts w:ascii="仿宋" w:hAnsi="仿宋" w:eastAsia="仿宋" w:cs="仿宋"/>
          <w:sz w:val="32"/>
          <w:szCs w:val="32"/>
        </w:rPr>
        <w:t>进行深入探讨，形成统一认识，有力指导了工作</w:t>
      </w:r>
      <w:r>
        <w:rPr>
          <w:rFonts w:hint="eastAsia" w:ascii="仿宋" w:hAnsi="仿宋" w:eastAsia="仿宋" w:cs="仿宋"/>
          <w:sz w:val="32"/>
          <w:szCs w:val="32"/>
          <w:lang w:eastAsia="zh-CN"/>
        </w:rPr>
        <w:t>实践</w:t>
      </w:r>
      <w:r>
        <w:rPr>
          <w:rFonts w:hint="eastAsia" w:ascii="仿宋" w:hAnsi="仿宋" w:eastAsia="仿宋" w:cs="仿宋"/>
          <w:sz w:val="32"/>
          <w:szCs w:val="32"/>
        </w:rPr>
        <w:t>。</w:t>
      </w:r>
    </w:p>
    <w:p>
      <w:pPr>
        <w:rPr>
          <w:rFonts w:hint="eastAsia" w:ascii="宋体" w:hAnsi="宋体" w:eastAsia="宋体" w:cs="宋体"/>
          <w:b/>
          <w:bCs/>
          <w:sz w:val="32"/>
          <w:szCs w:val="32"/>
        </w:rPr>
      </w:pPr>
      <w:r>
        <w:rPr>
          <w:rFonts w:hint="eastAsia" w:ascii="宋体" w:hAnsi="宋体" w:eastAsia="宋体" w:cs="宋体"/>
          <w:b/>
          <w:bCs/>
          <w:sz w:val="32"/>
          <w:szCs w:val="32"/>
        </w:rPr>
        <w:br w:type="page"/>
      </w:r>
    </w:p>
    <w:p>
      <w:pPr>
        <w:ind w:firstLine="643" w:firstLineChars="200"/>
        <w:rPr>
          <w:rFonts w:ascii="宋体" w:hAnsi="宋体" w:eastAsia="宋体" w:cs="宋体"/>
          <w:b/>
          <w:bCs/>
          <w:sz w:val="32"/>
          <w:szCs w:val="32"/>
        </w:rPr>
      </w:pPr>
      <w:r>
        <w:rPr>
          <w:rFonts w:hint="eastAsia" w:ascii="宋体" w:hAnsi="宋体" w:eastAsia="宋体" w:cs="宋体"/>
          <w:b/>
          <w:bCs/>
          <w:sz w:val="32"/>
          <w:szCs w:val="32"/>
        </w:rPr>
        <w:t>（三）提升公开质量</w:t>
      </w:r>
    </w:p>
    <w:p>
      <w:pPr>
        <w:ind w:firstLine="420" w:firstLineChars="200"/>
        <w:jc w:val="left"/>
        <w:rPr>
          <w:rFonts w:ascii="仿宋" w:hAnsi="仿宋" w:eastAsia="仿宋" w:cs="仿宋"/>
          <w:sz w:val="32"/>
          <w:szCs w:val="32"/>
        </w:rPr>
      </w:pPr>
      <w:r>
        <w:drawing>
          <wp:anchor distT="0" distB="0" distL="114300" distR="114300" simplePos="0" relativeHeight="251934720" behindDoc="1" locked="0" layoutInCell="1" allowOverlap="1">
            <wp:simplePos x="0" y="0"/>
            <wp:positionH relativeFrom="column">
              <wp:posOffset>3498850</wp:posOffset>
            </wp:positionH>
            <wp:positionV relativeFrom="paragraph">
              <wp:posOffset>487045</wp:posOffset>
            </wp:positionV>
            <wp:extent cx="2398395" cy="3443605"/>
            <wp:effectExtent l="9525" t="9525" r="11430" b="13970"/>
            <wp:wrapTight wrapText="bothSides">
              <wp:wrapPolygon>
                <wp:start x="-86" y="-60"/>
                <wp:lineTo x="-86" y="21568"/>
                <wp:lineTo x="21531" y="21568"/>
                <wp:lineTo x="21531" y="-60"/>
                <wp:lineTo x="-86" y="-60"/>
              </wp:wrapPolygon>
            </wp:wrapTight>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0"/>
                    <a:stretch>
                      <a:fillRect/>
                    </a:stretch>
                  </pic:blipFill>
                  <pic:spPr>
                    <a:xfrm>
                      <a:off x="0" y="0"/>
                      <a:ext cx="2398395" cy="3443605"/>
                    </a:xfrm>
                    <a:prstGeom prst="rect">
                      <a:avLst/>
                    </a:prstGeom>
                    <a:noFill/>
                    <a:ln>
                      <a:solidFill>
                        <a:srgbClr val="0000FF"/>
                      </a:solidFill>
                    </a:ln>
                  </pic:spPr>
                </pic:pic>
              </a:graphicData>
            </a:graphic>
          </wp:anchor>
        </w:drawing>
      </w:r>
      <w:r>
        <w:rPr>
          <w:rFonts w:hint="eastAsia" w:ascii="楷体" w:hAnsi="楷体" w:eastAsia="楷体" w:cs="楷体"/>
          <w:sz w:val="32"/>
          <w:szCs w:val="32"/>
        </w:rPr>
        <w:t>一是开展目录梳理编制。</w:t>
      </w:r>
      <w:r>
        <w:rPr>
          <w:rFonts w:hint="eastAsia" w:ascii="仿宋" w:hAnsi="仿宋" w:eastAsia="仿宋" w:cs="仿宋"/>
          <w:sz w:val="32"/>
          <w:szCs w:val="32"/>
        </w:rPr>
        <w:t>根据机构改革后部门新建、合并、拆分等实际，制定《淄博市政府信息公开目录编制调整工作方案》，下发《关于做好机构改革后市政府网站相关帐号变更及内容更新的通知》，部署各级各部门</w:t>
      </w:r>
      <w:r>
        <w:rPr>
          <w:rFonts w:hint="eastAsia" w:ascii="仿宋" w:hAnsi="仿宋" w:eastAsia="仿宋" w:cs="仿宋"/>
          <w:sz w:val="32"/>
          <w:szCs w:val="32"/>
          <w:lang w:eastAsia="zh-CN"/>
        </w:rPr>
        <w:t>根据职能变化</w:t>
      </w:r>
      <w:r>
        <w:rPr>
          <w:rFonts w:hint="eastAsia" w:ascii="仿宋" w:hAnsi="仿宋" w:eastAsia="仿宋" w:cs="仿宋"/>
          <w:sz w:val="32"/>
          <w:szCs w:val="32"/>
        </w:rPr>
        <w:t>及时梳理目录、更新信息。</w:t>
      </w:r>
    </w:p>
    <w:p>
      <w:pPr>
        <w:ind w:firstLine="640" w:firstLineChars="200"/>
        <w:rPr>
          <w:rFonts w:ascii="仿宋" w:hAnsi="仿宋" w:eastAsia="仿宋" w:cs="仿宋"/>
          <w:sz w:val="32"/>
          <w:szCs w:val="32"/>
        </w:rPr>
      </w:pPr>
      <w:r>
        <w:rPr>
          <w:rFonts w:hint="eastAsia" w:ascii="楷体" w:hAnsi="楷体" w:eastAsia="楷体" w:cs="楷体"/>
          <w:sz w:val="32"/>
          <w:szCs w:val="32"/>
        </w:rPr>
        <w:t>二是加强政策解读。</w:t>
      </w:r>
      <w:r>
        <w:rPr>
          <w:rFonts w:hint="eastAsia" w:ascii="仿宋" w:hAnsi="仿宋" w:eastAsia="仿宋" w:cs="仿宋"/>
          <w:sz w:val="32"/>
          <w:szCs w:val="32"/>
        </w:rPr>
        <w:t>努力做到政策文件制定和政策解读“三同步”，加强对政府规章、规范性文件和其他专业性强的文件的解读力度，同时努力做到政策文件和解读材料双向链接，</w:t>
      </w:r>
      <w:r>
        <w:rPr>
          <w:rFonts w:hint="eastAsia" w:ascii="仿宋" w:hAnsi="仿宋" w:eastAsia="仿宋" w:cs="仿宋"/>
          <w:sz w:val="32"/>
          <w:szCs w:val="32"/>
          <w:lang w:eastAsia="zh-CN"/>
        </w:rPr>
        <w:t>其中</w:t>
      </w:r>
      <w:r>
        <w:rPr>
          <w:rFonts w:hint="eastAsia" w:ascii="仿宋" w:hAnsi="仿宋" w:eastAsia="仿宋" w:cs="仿宋"/>
          <w:sz w:val="32"/>
          <w:szCs w:val="32"/>
        </w:rPr>
        <w:t>市级层面共发布</w:t>
      </w:r>
      <w:r>
        <w:rPr>
          <w:rFonts w:hint="eastAsia" w:ascii="仿宋" w:hAnsi="仿宋" w:eastAsia="仿宋" w:cs="仿宋"/>
          <w:sz w:val="32"/>
          <w:szCs w:val="32"/>
          <w:lang w:eastAsia="zh-CN"/>
        </w:rPr>
        <w:t>市政府</w:t>
      </w:r>
      <w:r>
        <w:rPr>
          <w:rFonts w:hint="eastAsia" w:ascii="仿宋" w:hAnsi="仿宋" w:eastAsia="仿宋" w:cs="仿宋"/>
          <w:sz w:val="32"/>
          <w:szCs w:val="32"/>
        </w:rPr>
        <w:t>政策</w:t>
      </w:r>
      <w:r>
        <w:rPr>
          <w:rFonts w:hint="eastAsia" w:ascii="仿宋" w:hAnsi="仿宋" w:eastAsia="仿宋" w:cs="仿宋"/>
          <w:sz w:val="32"/>
          <w:szCs w:val="32"/>
          <w:lang w:eastAsia="zh-CN"/>
        </w:rPr>
        <w:t>文件</w:t>
      </w:r>
      <w:r>
        <w:rPr>
          <w:rFonts w:hint="eastAsia" w:ascii="仿宋" w:hAnsi="仿宋" w:eastAsia="仿宋" w:cs="仿宋"/>
          <w:sz w:val="32"/>
          <w:szCs w:val="32"/>
        </w:rPr>
        <w:t>解读材料</w:t>
      </w:r>
      <w:r>
        <w:rPr>
          <w:rFonts w:hint="eastAsia" w:ascii="仿宋" w:hAnsi="仿宋" w:eastAsia="仿宋" w:cs="仿宋"/>
          <w:sz w:val="32"/>
          <w:szCs w:val="32"/>
          <w:lang w:val="en-US" w:eastAsia="zh-CN"/>
        </w:rPr>
        <w:t>5</w:t>
      </w:r>
      <w:r>
        <w:rPr>
          <w:rFonts w:hint="eastAsia" w:ascii="仿宋" w:hAnsi="仿宋" w:eastAsia="仿宋" w:cs="仿宋"/>
          <w:sz w:val="32"/>
          <w:szCs w:val="32"/>
        </w:rPr>
        <w:t>0余件。</w:t>
      </w:r>
    </w:p>
    <w:p>
      <w:pPr>
        <w:ind w:firstLine="640"/>
        <w:jc w:val="left"/>
        <w:rPr>
          <w:rFonts w:hint="default" w:ascii="仿宋" w:hAnsi="仿宋" w:eastAsia="仿宋" w:cs="仿宋"/>
          <w:sz w:val="32"/>
          <w:szCs w:val="32"/>
          <w:lang w:val="en-US" w:eastAsia="zh-CN"/>
        </w:rPr>
      </w:pPr>
      <w:r>
        <w:drawing>
          <wp:anchor distT="0" distB="0" distL="114300" distR="114300" simplePos="0" relativeHeight="269798400" behindDoc="1" locked="0" layoutInCell="1" allowOverlap="1">
            <wp:simplePos x="0" y="0"/>
            <wp:positionH relativeFrom="column">
              <wp:posOffset>2176145</wp:posOffset>
            </wp:positionH>
            <wp:positionV relativeFrom="paragraph">
              <wp:posOffset>427990</wp:posOffset>
            </wp:positionV>
            <wp:extent cx="3712845" cy="2103120"/>
            <wp:effectExtent l="9525" t="9525" r="11430" b="20955"/>
            <wp:wrapTight wrapText="bothSides">
              <wp:wrapPolygon>
                <wp:start x="-55" y="-98"/>
                <wp:lineTo x="-55" y="21424"/>
                <wp:lineTo x="21556" y="21424"/>
                <wp:lineTo x="21556" y="-98"/>
                <wp:lineTo x="-55" y="-98"/>
              </wp:wrapPolygon>
            </wp:wrapTight>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21"/>
                    <a:stretch>
                      <a:fillRect/>
                    </a:stretch>
                  </pic:blipFill>
                  <pic:spPr>
                    <a:xfrm>
                      <a:off x="0" y="0"/>
                      <a:ext cx="3712845" cy="2103120"/>
                    </a:xfrm>
                    <a:prstGeom prst="rect">
                      <a:avLst/>
                    </a:prstGeom>
                    <a:noFill/>
                    <a:ln>
                      <a:solidFill>
                        <a:srgbClr val="0000FF"/>
                      </a:solidFill>
                    </a:ln>
                  </pic:spPr>
                </pic:pic>
              </a:graphicData>
            </a:graphic>
          </wp:anchor>
        </w:drawing>
      </w:r>
      <w:r>
        <w:rPr>
          <w:rFonts w:hint="eastAsia" w:ascii="楷体" w:hAnsi="楷体" w:eastAsia="楷体" w:cs="楷体"/>
          <w:sz w:val="32"/>
          <w:szCs w:val="32"/>
        </w:rPr>
        <w:t>三是加强政民互动。</w:t>
      </w:r>
      <w:r>
        <w:rPr>
          <w:rFonts w:hint="eastAsia" w:ascii="仿宋" w:hAnsi="仿宋" w:eastAsia="仿宋" w:cs="仿宋"/>
          <w:sz w:val="32"/>
          <w:szCs w:val="32"/>
          <w:lang w:eastAsia="zh-CN"/>
        </w:rPr>
        <w:t>实行重大行政决策预公开制度，在政府网站及时发布年度重大行政决策事项目录和决策草案，发动公众积极参与决策过程，同时及时将公众意见征集情况予以公开。</w:t>
      </w:r>
      <w:r>
        <w:rPr>
          <w:rFonts w:hint="eastAsia" w:ascii="仿宋" w:hAnsi="仿宋" w:eastAsia="仿宋" w:cs="仿宋"/>
          <w:sz w:val="32"/>
          <w:szCs w:val="32"/>
        </w:rPr>
        <w:t>开办了“淄博问政”电视节目，每周安排一个政府部门上线接受问政，年内</w:t>
      </w:r>
      <w:r>
        <w:rPr>
          <w:rFonts w:hint="eastAsia" w:ascii="仿宋" w:hAnsi="仿宋" w:eastAsia="仿宋" w:cs="仿宋"/>
          <w:sz w:val="32"/>
          <w:szCs w:val="32"/>
          <w:lang w:eastAsia="zh-CN"/>
        </w:rPr>
        <w:t>共</w:t>
      </w:r>
      <w:r>
        <w:rPr>
          <w:rFonts w:hint="eastAsia" w:ascii="仿宋" w:hAnsi="仿宋" w:eastAsia="仿宋" w:cs="仿宋"/>
          <w:sz w:val="32"/>
          <w:szCs w:val="32"/>
        </w:rPr>
        <w:t>举办节目28期，直接解决群众反映的问题1000余个。在淄博电</w:t>
      </w:r>
      <w:r>
        <w:rPr>
          <w:rFonts w:hint="eastAsia" w:ascii="仿宋" w:hAnsi="仿宋" w:eastAsia="仿宋" w:cs="仿宋"/>
          <w:sz w:val="32"/>
          <w:szCs w:val="32"/>
          <w:lang w:val="en-US" w:eastAsia="zh-CN"/>
        </w:rPr>
        <w:t>台常</w:t>
      </w:r>
    </w:p>
    <w:p>
      <w:pPr>
        <w:rPr>
          <w:rFonts w:hint="eastAsia" w:ascii="仿宋" w:hAnsi="仿宋" w:eastAsia="仿宋" w:cs="仿宋"/>
          <w:sz w:val="32"/>
          <w:szCs w:val="32"/>
        </w:rPr>
      </w:pPr>
      <w:r>
        <w:rPr>
          <w:rFonts w:hint="eastAsia" w:ascii="仿宋" w:hAnsi="仿宋" w:eastAsia="仿宋" w:cs="仿宋"/>
          <w:sz w:val="32"/>
          <w:szCs w:val="32"/>
        </w:rPr>
        <w:br w:type="page"/>
      </w:r>
    </w:p>
    <w:p>
      <w:pPr>
        <w:jc w:val="left"/>
        <w:rPr>
          <w:rFonts w:ascii="仿宋" w:hAnsi="仿宋" w:eastAsia="仿宋" w:cs="仿宋"/>
          <w:sz w:val="32"/>
          <w:szCs w:val="32"/>
        </w:rPr>
      </w:pPr>
      <w:r>
        <w:drawing>
          <wp:anchor distT="0" distB="0" distL="114300" distR="114300" simplePos="0" relativeHeight="269799424" behindDoc="1" locked="0" layoutInCell="1" allowOverlap="1">
            <wp:simplePos x="0" y="0"/>
            <wp:positionH relativeFrom="column">
              <wp:posOffset>1788795</wp:posOffset>
            </wp:positionH>
            <wp:positionV relativeFrom="paragraph">
              <wp:posOffset>546100</wp:posOffset>
            </wp:positionV>
            <wp:extent cx="4119880" cy="3092450"/>
            <wp:effectExtent l="9525" t="9525" r="23495" b="22225"/>
            <wp:wrapTight wrapText="bothSides">
              <wp:wrapPolygon>
                <wp:start x="-50" y="-67"/>
                <wp:lineTo x="-50" y="21489"/>
                <wp:lineTo x="21523" y="21489"/>
                <wp:lineTo x="21523" y="-67"/>
                <wp:lineTo x="-50" y="-67"/>
              </wp:wrapPolygon>
            </wp:wrapTight>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22"/>
                    <a:stretch>
                      <a:fillRect/>
                    </a:stretch>
                  </pic:blipFill>
                  <pic:spPr>
                    <a:xfrm>
                      <a:off x="0" y="0"/>
                      <a:ext cx="4119880" cy="3092450"/>
                    </a:xfrm>
                    <a:prstGeom prst="rect">
                      <a:avLst/>
                    </a:prstGeom>
                    <a:noFill/>
                    <a:ln>
                      <a:solidFill>
                        <a:srgbClr val="0000FF"/>
                      </a:solidFill>
                    </a:ln>
                  </pic:spPr>
                </pic:pic>
              </a:graphicData>
            </a:graphic>
          </wp:anchor>
        </w:drawing>
      </w:r>
      <w:r>
        <w:rPr>
          <w:rFonts w:hint="eastAsia" w:ascii="仿宋" w:hAnsi="仿宋" w:eastAsia="仿宋" w:cs="仿宋"/>
          <w:sz w:val="32"/>
          <w:szCs w:val="32"/>
          <w:lang w:eastAsia="zh-CN"/>
        </w:rPr>
        <w:t>年</w:t>
      </w:r>
      <w:r>
        <w:rPr>
          <w:rFonts w:hint="eastAsia" w:ascii="仿宋" w:hAnsi="仿宋" w:eastAsia="仿宋" w:cs="仿宋"/>
          <w:sz w:val="32"/>
          <w:szCs w:val="32"/>
        </w:rPr>
        <w:t>开办</w:t>
      </w:r>
      <w:r>
        <w:rPr>
          <w:rFonts w:hint="eastAsia" w:ascii="仿宋" w:hAnsi="仿宋" w:eastAsia="仿宋" w:cs="仿宋"/>
          <w:sz w:val="32"/>
          <w:szCs w:val="32"/>
          <w:lang w:val="en-US" w:eastAsia="zh-CN"/>
        </w:rPr>
        <w:t>政风行风热线节目</w:t>
      </w:r>
      <w:r>
        <w:rPr>
          <w:rFonts w:hint="eastAsia" w:ascii="仿宋" w:hAnsi="仿宋" w:eastAsia="仿宋" w:cs="仿宋"/>
          <w:sz w:val="32"/>
          <w:szCs w:val="32"/>
        </w:rPr>
        <w:t>，每周安排</w:t>
      </w:r>
      <w:r>
        <w:rPr>
          <w:rFonts w:hint="eastAsia" w:ascii="仿宋" w:hAnsi="仿宋" w:eastAsia="仿宋" w:cs="仿宋"/>
          <w:sz w:val="32"/>
          <w:szCs w:val="32"/>
          <w:lang w:val="en-US" w:eastAsia="zh-CN"/>
        </w:rPr>
        <w:t>民生</w:t>
      </w:r>
      <w:r>
        <w:rPr>
          <w:rFonts w:hint="eastAsia" w:ascii="仿宋" w:hAnsi="仿宋" w:eastAsia="仿宋" w:cs="仿宋"/>
          <w:sz w:val="32"/>
          <w:szCs w:val="32"/>
          <w:lang w:eastAsia="zh-CN"/>
        </w:rPr>
        <w:t>部门</w:t>
      </w:r>
      <w:r>
        <w:rPr>
          <w:rFonts w:hint="eastAsia" w:ascii="仿宋" w:hAnsi="仿宋" w:eastAsia="仿宋" w:cs="仿宋"/>
          <w:sz w:val="32"/>
          <w:szCs w:val="32"/>
        </w:rPr>
        <w:t>上线，接听群众电话，解答群众诉求，节目结束后，将群众反映的热点问题和责任单位通过市政府网站和淄博日报予以公开，责任单位办理情况</w:t>
      </w:r>
      <w:r>
        <w:rPr>
          <w:rFonts w:hint="eastAsia" w:ascii="仿宋" w:hAnsi="仿宋" w:eastAsia="仿宋" w:cs="仿宋"/>
          <w:sz w:val="32"/>
          <w:szCs w:val="32"/>
          <w:lang w:eastAsia="zh-CN"/>
        </w:rPr>
        <w:t>随后</w:t>
      </w:r>
      <w:r>
        <w:rPr>
          <w:rFonts w:hint="eastAsia" w:ascii="仿宋" w:hAnsi="仿宋" w:eastAsia="仿宋" w:cs="仿宋"/>
          <w:sz w:val="32"/>
          <w:szCs w:val="32"/>
        </w:rPr>
        <w:t>及时予以全部公开，全年共组织上线23次，解决群众关注的热点问题近300个。在市政府网站设置“政民互动”专栏，为群众和政府顺畅沟通搭建桥梁，全年市政府部门受理群众通过该平台提交的咨询、建议、投诉等事项共计</w:t>
      </w:r>
      <w:r>
        <w:rPr>
          <w:rFonts w:hint="eastAsia" w:ascii="仿宋" w:hAnsi="仿宋" w:eastAsia="仿宋" w:cs="仿宋"/>
          <w:sz w:val="32"/>
          <w:szCs w:val="32"/>
          <w:lang w:val="en-US" w:eastAsia="zh-CN"/>
        </w:rPr>
        <w:t>2000余</w:t>
      </w:r>
      <w:r>
        <w:rPr>
          <w:rFonts w:hint="eastAsia" w:ascii="仿宋" w:hAnsi="仿宋" w:eastAsia="仿宋" w:cs="仿宋"/>
          <w:sz w:val="32"/>
          <w:szCs w:val="32"/>
        </w:rPr>
        <w:t>件，全部及时</w:t>
      </w:r>
      <w:r>
        <w:rPr>
          <w:rFonts w:hint="eastAsia" w:ascii="仿宋" w:hAnsi="仿宋" w:eastAsia="仿宋" w:cs="仿宋"/>
          <w:sz w:val="32"/>
          <w:szCs w:val="32"/>
          <w:lang w:eastAsia="zh-CN"/>
        </w:rPr>
        <w:t>予以</w:t>
      </w:r>
      <w:r>
        <w:rPr>
          <w:rFonts w:hint="eastAsia" w:ascii="仿宋" w:hAnsi="仿宋" w:eastAsia="仿宋" w:cs="仿宋"/>
          <w:sz w:val="32"/>
          <w:szCs w:val="32"/>
        </w:rPr>
        <w:t>答复。</w:t>
      </w:r>
    </w:p>
    <w:p>
      <w:pPr>
        <w:ind w:firstLine="420" w:firstLineChars="200"/>
        <w:rPr>
          <w:rFonts w:ascii="仿宋" w:hAnsi="仿宋" w:eastAsia="仿宋" w:cs="仿宋"/>
          <w:sz w:val="32"/>
          <w:szCs w:val="32"/>
        </w:rPr>
      </w:pPr>
      <w:r>
        <w:drawing>
          <wp:anchor distT="0" distB="0" distL="114300" distR="114300" simplePos="0" relativeHeight="252020736" behindDoc="1" locked="0" layoutInCell="1" allowOverlap="1">
            <wp:simplePos x="0" y="0"/>
            <wp:positionH relativeFrom="column">
              <wp:posOffset>78740</wp:posOffset>
            </wp:positionH>
            <wp:positionV relativeFrom="paragraph">
              <wp:posOffset>779780</wp:posOffset>
            </wp:positionV>
            <wp:extent cx="3804920" cy="2185670"/>
            <wp:effectExtent l="9525" t="9525" r="14605" b="14605"/>
            <wp:wrapTight wrapText="bothSides">
              <wp:wrapPolygon>
                <wp:start x="-54" y="-94"/>
                <wp:lineTo x="-54" y="21556"/>
                <wp:lineTo x="21575" y="21556"/>
                <wp:lineTo x="21575" y="-94"/>
                <wp:lineTo x="-54" y="-94"/>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3"/>
                    <a:stretch>
                      <a:fillRect/>
                    </a:stretch>
                  </pic:blipFill>
                  <pic:spPr>
                    <a:xfrm>
                      <a:off x="0" y="0"/>
                      <a:ext cx="3804920" cy="2185670"/>
                    </a:xfrm>
                    <a:prstGeom prst="rect">
                      <a:avLst/>
                    </a:prstGeom>
                    <a:noFill/>
                    <a:ln>
                      <a:solidFill>
                        <a:srgbClr val="0000FF"/>
                      </a:solidFill>
                    </a:ln>
                  </pic:spPr>
                </pic:pic>
              </a:graphicData>
            </a:graphic>
          </wp:anchor>
        </w:drawing>
      </w:r>
      <w:r>
        <w:rPr>
          <w:rFonts w:hint="eastAsia" w:ascii="楷体" w:hAnsi="楷体" w:eastAsia="楷体" w:cs="楷体"/>
          <w:sz w:val="32"/>
          <w:szCs w:val="32"/>
        </w:rPr>
        <w:t>四是扩大数据开放。</w:t>
      </w:r>
      <w:r>
        <w:rPr>
          <w:rFonts w:hint="eastAsia" w:ascii="仿宋" w:hAnsi="仿宋" w:eastAsia="仿宋" w:cs="仿宋"/>
          <w:sz w:val="32"/>
          <w:szCs w:val="32"/>
        </w:rPr>
        <w:t>按照《关于加快淄博市政务信息资源共享和公共数据资源开放有关事宜的通知》</w:t>
      </w:r>
      <w:r>
        <w:rPr>
          <w:rFonts w:hint="eastAsia" w:ascii="仿宋" w:hAnsi="仿宋" w:eastAsia="仿宋" w:cs="仿宋"/>
          <w:sz w:val="32"/>
          <w:szCs w:val="32"/>
          <w:lang w:eastAsia="zh-CN"/>
        </w:rPr>
        <w:t>和</w:t>
      </w:r>
      <w:r>
        <w:rPr>
          <w:rFonts w:hint="eastAsia" w:ascii="仿宋" w:hAnsi="仿宋" w:eastAsia="仿宋" w:cs="仿宋"/>
          <w:sz w:val="32"/>
          <w:szCs w:val="32"/>
        </w:rPr>
        <w:t>《关于加快推进政务信息资源体系建设有关工作的通知》等文件，对全市公共数据资源开放工作作出部署，编制形成《淄博市公共数据开放清单》。截止年底，全市累计发布信息资源目录1767个，开放数据2747856条。</w:t>
      </w:r>
    </w:p>
    <w:p>
      <w:pPr>
        <w:rPr>
          <w:rFonts w:hint="eastAsia" w:ascii="楷体" w:hAnsi="楷体" w:eastAsia="楷体" w:cs="楷体"/>
          <w:sz w:val="32"/>
          <w:szCs w:val="32"/>
        </w:rPr>
      </w:pPr>
      <w:r>
        <w:rPr>
          <w:rFonts w:hint="eastAsia" w:ascii="楷体" w:hAnsi="楷体" w:eastAsia="楷体" w:cs="楷体"/>
          <w:sz w:val="32"/>
          <w:szCs w:val="32"/>
        </w:rPr>
        <w:br w:type="page"/>
      </w:r>
    </w:p>
    <w:p>
      <w:pPr>
        <w:ind w:firstLine="420" w:firstLineChars="200"/>
        <w:rPr>
          <w:rFonts w:ascii="仿宋" w:hAnsi="仿宋" w:eastAsia="仿宋" w:cs="仿宋"/>
          <w:sz w:val="32"/>
          <w:szCs w:val="32"/>
        </w:rPr>
      </w:pPr>
      <w:r>
        <w:drawing>
          <wp:anchor distT="0" distB="0" distL="114300" distR="114300" simplePos="0" relativeHeight="252066816" behindDoc="1" locked="0" layoutInCell="1" allowOverlap="1">
            <wp:simplePos x="0" y="0"/>
            <wp:positionH relativeFrom="column">
              <wp:posOffset>2253615</wp:posOffset>
            </wp:positionH>
            <wp:positionV relativeFrom="paragraph">
              <wp:posOffset>4484370</wp:posOffset>
            </wp:positionV>
            <wp:extent cx="3782060" cy="3066415"/>
            <wp:effectExtent l="9525" t="9525" r="18415" b="10160"/>
            <wp:wrapTight wrapText="bothSides">
              <wp:wrapPolygon>
                <wp:start x="-54" y="-67"/>
                <wp:lineTo x="-54" y="21537"/>
                <wp:lineTo x="21596" y="21537"/>
                <wp:lineTo x="21596" y="-67"/>
                <wp:lineTo x="-54" y="-67"/>
              </wp:wrapPolygon>
            </wp:wrapTight>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4"/>
                    <a:stretch>
                      <a:fillRect/>
                    </a:stretch>
                  </pic:blipFill>
                  <pic:spPr>
                    <a:xfrm>
                      <a:off x="0" y="0"/>
                      <a:ext cx="3782060" cy="3066415"/>
                    </a:xfrm>
                    <a:prstGeom prst="rect">
                      <a:avLst/>
                    </a:prstGeom>
                    <a:noFill/>
                    <a:ln>
                      <a:solidFill>
                        <a:srgbClr val="0000FF"/>
                      </a:solidFill>
                    </a:ln>
                  </pic:spPr>
                </pic:pic>
              </a:graphicData>
            </a:graphic>
          </wp:anchor>
        </w:drawing>
      </w:r>
      <w:r>
        <w:rPr>
          <w:rFonts w:ascii="Calibri" w:hAnsi="Calibri"/>
          <w:highlight w:val="none"/>
        </w:rPr>
        <w:drawing>
          <wp:anchor distT="0" distB="0" distL="114300" distR="114300" simplePos="0" relativeHeight="252021760" behindDoc="1" locked="0" layoutInCell="1" allowOverlap="1">
            <wp:simplePos x="0" y="0"/>
            <wp:positionH relativeFrom="column">
              <wp:posOffset>40640</wp:posOffset>
            </wp:positionH>
            <wp:positionV relativeFrom="paragraph">
              <wp:posOffset>763270</wp:posOffset>
            </wp:positionV>
            <wp:extent cx="3422650" cy="2545080"/>
            <wp:effectExtent l="9525" t="9525" r="73025" b="74295"/>
            <wp:wrapTight wrapText="bothSides">
              <wp:wrapPolygon>
                <wp:start x="-60" y="-81"/>
                <wp:lineTo x="-60" y="21584"/>
                <wp:lineTo x="21580" y="21584"/>
                <wp:lineTo x="21580" y="-81"/>
                <wp:lineTo x="-60" y="-81"/>
              </wp:wrapPolygon>
            </wp:wrapTight>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3422650" cy="2545080"/>
                    </a:xfrm>
                    <a:prstGeom prst="rect">
                      <a:avLst/>
                    </a:prstGeom>
                    <a:noFill/>
                    <a:ln w="9525" cap="flat" cmpd="sng">
                      <a:solidFill>
                        <a:srgbClr val="0000FF"/>
                      </a:solidFill>
                      <a:prstDash val="solid"/>
                      <a:miter/>
                      <a:headEnd type="none" w="med" len="med"/>
                      <a:tailEnd type="none" w="med" len="med"/>
                    </a:ln>
                  </pic:spPr>
                </pic:pic>
              </a:graphicData>
            </a:graphic>
          </wp:anchor>
        </w:drawing>
      </w:r>
      <w:r>
        <w:rPr>
          <w:rFonts w:hint="eastAsia" w:ascii="楷体" w:hAnsi="楷体" w:eastAsia="楷体" w:cs="楷体"/>
          <w:sz w:val="32"/>
          <w:szCs w:val="32"/>
        </w:rPr>
        <w:t>五是大力推动市民开放日活动。</w:t>
      </w:r>
      <w:r>
        <w:rPr>
          <w:rFonts w:hint="eastAsia" w:ascii="仿宋" w:hAnsi="仿宋" w:eastAsia="仿宋" w:cs="仿宋"/>
          <w:sz w:val="32"/>
          <w:szCs w:val="32"/>
        </w:rPr>
        <w:t>2019年市级行政机关、公共企事业单位共组织“政府开放日”活动24次，政府开放朝着常态化方向推进。</w:t>
      </w:r>
      <w:r>
        <w:rPr>
          <w:rFonts w:hint="eastAsia" w:ascii="仿宋" w:hAnsi="仿宋" w:eastAsia="仿宋" w:cs="仿宋"/>
          <w:sz w:val="32"/>
          <w:szCs w:val="32"/>
          <w:lang w:eastAsia="zh-CN"/>
        </w:rPr>
        <w:t>其中</w:t>
      </w:r>
      <w:r>
        <w:rPr>
          <w:rFonts w:hint="eastAsia" w:ascii="仿宋" w:hAnsi="仿宋" w:eastAsia="仿宋" w:cs="仿宋"/>
          <w:sz w:val="32"/>
          <w:szCs w:val="32"/>
        </w:rPr>
        <w:t>市市场监管局</w:t>
      </w:r>
      <w:r>
        <w:rPr>
          <w:rFonts w:hint="eastAsia" w:ascii="仿宋" w:hAnsi="仿宋" w:eastAsia="仿宋" w:cs="仿宋"/>
          <w:sz w:val="32"/>
          <w:szCs w:val="32"/>
          <w:lang w:val="en-US" w:eastAsia="zh-CN"/>
        </w:rPr>
        <w:t>6次开展“透明工厂”市民开放活动，</w:t>
      </w:r>
      <w:r>
        <w:rPr>
          <w:rFonts w:hint="eastAsia" w:ascii="仿宋" w:hAnsi="仿宋" w:eastAsia="仿宋" w:cs="仿宋"/>
          <w:sz w:val="32"/>
          <w:szCs w:val="32"/>
          <w:lang w:eastAsia="zh-CN"/>
        </w:rPr>
        <w:t>市公安局</w:t>
      </w:r>
      <w:r>
        <w:rPr>
          <w:rFonts w:hint="eastAsia" w:ascii="仿宋" w:hAnsi="仿宋" w:eastAsia="仿宋" w:cs="仿宋"/>
          <w:sz w:val="32"/>
          <w:szCs w:val="32"/>
          <w:lang w:val="en-US" w:eastAsia="zh-CN"/>
        </w:rPr>
        <w:t>6次开展“警营开放日”活动，</w:t>
      </w:r>
      <w:r>
        <w:rPr>
          <w:rFonts w:hint="eastAsia" w:ascii="仿宋" w:hAnsi="仿宋" w:eastAsia="仿宋" w:cs="仿宋"/>
          <w:sz w:val="32"/>
          <w:szCs w:val="32"/>
        </w:rPr>
        <w:t>市120急救指挥中心</w:t>
      </w:r>
      <w:r>
        <w:rPr>
          <w:rFonts w:hint="eastAsia" w:ascii="仿宋" w:hAnsi="仿宋" w:eastAsia="仿宋" w:cs="仿宋"/>
          <w:sz w:val="32"/>
          <w:szCs w:val="32"/>
          <w:lang w:val="en-US" w:eastAsia="zh-CN"/>
        </w:rPr>
        <w:t>2次</w:t>
      </w:r>
      <w:r>
        <w:rPr>
          <w:rFonts w:hint="eastAsia" w:ascii="仿宋" w:hAnsi="仿宋" w:eastAsia="仿宋" w:cs="仿宋"/>
          <w:sz w:val="32"/>
          <w:szCs w:val="32"/>
        </w:rPr>
        <w:t>开展“120急救开放日”活动，市城管局</w:t>
      </w:r>
      <w:r>
        <w:rPr>
          <w:rFonts w:hint="eastAsia" w:ascii="仿宋" w:hAnsi="仿宋" w:eastAsia="仿宋" w:cs="仿宋"/>
          <w:sz w:val="32"/>
          <w:szCs w:val="32"/>
          <w:lang w:val="en-US" w:eastAsia="zh-CN"/>
        </w:rPr>
        <w:t>2</w:t>
      </w:r>
      <w:r>
        <w:rPr>
          <w:rFonts w:hint="eastAsia" w:ascii="仿宋" w:hAnsi="仿宋" w:eastAsia="仿宋" w:cs="仿宋"/>
          <w:sz w:val="32"/>
          <w:szCs w:val="32"/>
        </w:rPr>
        <w:t>次组织</w:t>
      </w:r>
      <w:r>
        <w:rPr>
          <w:rFonts w:hint="eastAsia" w:ascii="仿宋" w:hAnsi="仿宋" w:eastAsia="仿宋" w:cs="仿宋"/>
          <w:sz w:val="32"/>
          <w:szCs w:val="32"/>
          <w:lang w:eastAsia="zh-CN"/>
        </w:rPr>
        <w:t>“城市管理”主题开放日活动，</w:t>
      </w:r>
      <w:r>
        <w:rPr>
          <w:rFonts w:hint="eastAsia" w:ascii="仿宋" w:hAnsi="仿宋" w:eastAsia="仿宋" w:cs="仿宋"/>
          <w:sz w:val="32"/>
          <w:szCs w:val="32"/>
        </w:rPr>
        <w:t>市生态环境局组织了“环境公众开放日”活动，市统计局组织了“统计开放日”座谈会，市司法局开展</w:t>
      </w:r>
      <w:r>
        <w:rPr>
          <w:rFonts w:hint="eastAsia" w:ascii="仿宋" w:hAnsi="仿宋" w:eastAsia="仿宋" w:cs="仿宋"/>
          <w:sz w:val="32"/>
          <w:szCs w:val="32"/>
          <w:lang w:eastAsia="zh-CN"/>
        </w:rPr>
        <w:t>了</w:t>
      </w:r>
      <w:r>
        <w:rPr>
          <w:rFonts w:hint="eastAsia" w:ascii="仿宋" w:hAnsi="仿宋" w:eastAsia="仿宋" w:cs="仿宋"/>
          <w:sz w:val="32"/>
          <w:szCs w:val="32"/>
        </w:rPr>
        <w:t>“向市民报告——全市政法机关开放日”活动，</w:t>
      </w:r>
      <w:r>
        <w:rPr>
          <w:rFonts w:hint="eastAsia" w:ascii="仿宋" w:hAnsi="仿宋" w:eastAsia="仿宋" w:cs="仿宋"/>
          <w:sz w:val="32"/>
          <w:szCs w:val="32"/>
          <w:lang w:eastAsia="zh-CN"/>
        </w:rPr>
        <w:t>市民投诉中心、</w:t>
      </w:r>
      <w:r>
        <w:rPr>
          <w:rFonts w:hint="eastAsia" w:ascii="仿宋" w:hAnsi="仿宋" w:eastAsia="仿宋" w:cs="仿宋"/>
          <w:sz w:val="32"/>
          <w:szCs w:val="32"/>
        </w:rPr>
        <w:t>市救助服务中心</w:t>
      </w:r>
      <w:r>
        <w:rPr>
          <w:rFonts w:hint="eastAsia" w:ascii="仿宋" w:hAnsi="仿宋" w:eastAsia="仿宋" w:cs="仿宋"/>
          <w:sz w:val="32"/>
          <w:szCs w:val="32"/>
          <w:lang w:eastAsia="zh-CN"/>
        </w:rPr>
        <w:t>、</w:t>
      </w:r>
      <w:r>
        <w:rPr>
          <w:rFonts w:hint="eastAsia" w:ascii="仿宋" w:hAnsi="仿宋" w:eastAsia="仿宋" w:cs="仿宋"/>
          <w:sz w:val="32"/>
          <w:szCs w:val="32"/>
        </w:rPr>
        <w:t>淄博市档案馆、淄博鲁中公证处、淄博大剧院、淄博市社会福利儿童院、淄博市妇幼保健院、淄博实验中学、淄博十七中、淄博联通公司、淄博华润燃气公司等一批公共企事业单位也组织了不同形式的市民开放日或媒体开放日活动。</w:t>
      </w:r>
    </w:p>
    <w:p>
      <w:pPr>
        <w:ind w:firstLine="640" w:firstLineChars="200"/>
        <w:rPr>
          <w:rFonts w:ascii="黑体" w:hAnsi="黑体" w:eastAsia="黑体" w:cs="黑体"/>
          <w:sz w:val="32"/>
          <w:szCs w:val="32"/>
        </w:rPr>
      </w:pPr>
      <w:r>
        <w:rPr>
          <w:rFonts w:hint="eastAsia" w:ascii="黑体" w:hAnsi="黑体" w:eastAsia="黑体" w:cs="黑体"/>
          <w:sz w:val="32"/>
          <w:szCs w:val="32"/>
        </w:rPr>
        <w:t>（四）突出重点领域</w:t>
      </w:r>
    </w:p>
    <w:p>
      <w:pPr>
        <w:rPr>
          <w:rFonts w:hint="eastAsia" w:ascii="楷体" w:hAnsi="楷体" w:eastAsia="楷体" w:cs="楷体"/>
          <w:sz w:val="32"/>
          <w:szCs w:val="32"/>
        </w:rPr>
      </w:pPr>
      <w:r>
        <w:rPr>
          <w:rFonts w:hint="eastAsia" w:ascii="楷体" w:hAnsi="楷体" w:eastAsia="楷体" w:cs="楷体"/>
          <w:sz w:val="32"/>
          <w:szCs w:val="32"/>
        </w:rPr>
        <w:br w:type="page"/>
      </w:r>
    </w:p>
    <w:p>
      <w:pPr>
        <w:ind w:firstLine="420" w:firstLineChars="200"/>
        <w:jc w:val="left"/>
        <w:rPr>
          <w:rFonts w:hint="eastAsia" w:ascii="仿宋" w:hAnsi="仿宋" w:eastAsia="仿宋" w:cs="仿宋"/>
          <w:b w:val="0"/>
          <w:bCs/>
          <w:i w:val="0"/>
          <w:caps w:val="0"/>
          <w:color w:val="3D3D3D"/>
          <w:spacing w:val="0"/>
          <w:sz w:val="32"/>
          <w:szCs w:val="32"/>
          <w:lang w:eastAsia="zh-CN"/>
        </w:rPr>
      </w:pPr>
      <w:r>
        <w:drawing>
          <wp:anchor distT="0" distB="0" distL="114300" distR="114300" simplePos="0" relativeHeight="270432256" behindDoc="1" locked="0" layoutInCell="1" allowOverlap="1">
            <wp:simplePos x="0" y="0"/>
            <wp:positionH relativeFrom="column">
              <wp:posOffset>3238500</wp:posOffset>
            </wp:positionH>
            <wp:positionV relativeFrom="paragraph">
              <wp:posOffset>4832350</wp:posOffset>
            </wp:positionV>
            <wp:extent cx="2762885" cy="3711575"/>
            <wp:effectExtent l="9525" t="9525" r="27940" b="12700"/>
            <wp:wrapTight wrapText="bothSides">
              <wp:wrapPolygon>
                <wp:start x="-74" y="-55"/>
                <wp:lineTo x="-74" y="21563"/>
                <wp:lineTo x="21521" y="21563"/>
                <wp:lineTo x="21521" y="-55"/>
                <wp:lineTo x="-74" y="-55"/>
              </wp:wrapPolygon>
            </wp:wrapTight>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26"/>
                    <a:stretch>
                      <a:fillRect/>
                    </a:stretch>
                  </pic:blipFill>
                  <pic:spPr>
                    <a:xfrm>
                      <a:off x="0" y="0"/>
                      <a:ext cx="2762885" cy="3711575"/>
                    </a:xfrm>
                    <a:prstGeom prst="rect">
                      <a:avLst/>
                    </a:prstGeom>
                    <a:noFill/>
                    <a:ln>
                      <a:solidFill>
                        <a:srgbClr val="0000FF"/>
                      </a:solidFill>
                    </a:ln>
                  </pic:spPr>
                </pic:pic>
              </a:graphicData>
            </a:graphic>
          </wp:anchor>
        </w:drawing>
      </w:r>
      <w:r>
        <w:rPr>
          <w:rFonts w:hint="eastAsia" w:ascii="楷体" w:hAnsi="楷体" w:eastAsia="楷体" w:cs="楷体"/>
          <w:sz w:val="32"/>
          <w:szCs w:val="32"/>
        </w:rPr>
        <w:t>一是围绕助推高质量发展做好信息公开。</w:t>
      </w:r>
      <w:r>
        <w:rPr>
          <w:rFonts w:hint="eastAsia" w:ascii="楷体" w:hAnsi="楷体" w:eastAsia="楷体" w:cs="楷体"/>
          <w:sz w:val="32"/>
          <w:szCs w:val="32"/>
          <w:lang w:eastAsia="zh-CN"/>
        </w:rPr>
        <w:t>新旧动能转换方面：</w:t>
      </w:r>
      <w:r>
        <w:rPr>
          <w:rFonts w:hint="eastAsia" w:ascii="仿宋" w:hAnsi="仿宋" w:eastAsia="仿宋" w:cs="仿宋"/>
          <w:b w:val="0"/>
          <w:bCs/>
          <w:i w:val="0"/>
          <w:caps w:val="0"/>
          <w:color w:val="3D3D3D"/>
          <w:spacing w:val="0"/>
          <w:sz w:val="32"/>
          <w:szCs w:val="32"/>
          <w:lang w:eastAsia="zh-CN"/>
        </w:rPr>
        <w:t>市政府公开了</w:t>
      </w:r>
      <w:r>
        <w:rPr>
          <w:rFonts w:hint="eastAsia" w:ascii="仿宋" w:hAnsi="仿宋" w:eastAsia="仿宋" w:cs="仿宋"/>
          <w:b w:val="0"/>
          <w:bCs/>
          <w:i w:val="0"/>
          <w:caps w:val="0"/>
          <w:color w:val="3D3D3D"/>
          <w:spacing w:val="0"/>
          <w:sz w:val="32"/>
          <w:szCs w:val="32"/>
        </w:rPr>
        <w:t>关于</w:t>
      </w:r>
      <w:r>
        <w:drawing>
          <wp:anchor distT="0" distB="0" distL="114300" distR="114300" simplePos="0" relativeHeight="270431232" behindDoc="1" locked="0" layoutInCell="1" allowOverlap="1">
            <wp:simplePos x="0" y="0"/>
            <wp:positionH relativeFrom="column">
              <wp:posOffset>0</wp:posOffset>
            </wp:positionH>
            <wp:positionV relativeFrom="paragraph">
              <wp:posOffset>33020</wp:posOffset>
            </wp:positionV>
            <wp:extent cx="2765425" cy="3524885"/>
            <wp:effectExtent l="9525" t="9525" r="63500" b="66040"/>
            <wp:wrapTight wrapText="bothSides">
              <wp:wrapPolygon>
                <wp:start x="-74" y="-58"/>
                <wp:lineTo x="-74" y="21538"/>
                <wp:lineTo x="21501" y="21538"/>
                <wp:lineTo x="21501" y="-58"/>
                <wp:lineTo x="-74" y="-58"/>
              </wp:wrapPolygon>
            </wp:wrapTight>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27"/>
                    <a:stretch>
                      <a:fillRect/>
                    </a:stretch>
                  </pic:blipFill>
                  <pic:spPr>
                    <a:xfrm>
                      <a:off x="0" y="0"/>
                      <a:ext cx="2765425" cy="3524885"/>
                    </a:xfrm>
                    <a:prstGeom prst="rect">
                      <a:avLst/>
                    </a:prstGeom>
                    <a:noFill/>
                    <a:ln>
                      <a:solidFill>
                        <a:srgbClr val="0000FF"/>
                      </a:solidFill>
                    </a:ln>
                  </pic:spPr>
                </pic:pic>
              </a:graphicData>
            </a:graphic>
          </wp:anchor>
        </w:drawing>
      </w:r>
      <w:r>
        <w:rPr>
          <w:rFonts w:hint="eastAsia" w:ascii="仿宋" w:hAnsi="仿宋" w:eastAsia="仿宋" w:cs="仿宋"/>
          <w:b w:val="0"/>
          <w:bCs/>
          <w:i w:val="0"/>
          <w:caps w:val="0"/>
          <w:color w:val="3D3D3D"/>
          <w:spacing w:val="0"/>
          <w:sz w:val="32"/>
          <w:szCs w:val="32"/>
        </w:rPr>
        <w:t>加快推进工业新旧动能转换的若干政策</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关于推动“六稳”工作落地见效保障全市经济平稳健康发展的若干措施</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关于挖掘消费潜力繁荣发展夜间经济的实施意见</w:t>
      </w:r>
      <w:r>
        <w:rPr>
          <w:rFonts w:hint="eastAsia" w:ascii="仿宋" w:hAnsi="仿宋" w:eastAsia="仿宋" w:cs="仿宋"/>
          <w:b w:val="0"/>
          <w:bCs/>
          <w:i w:val="0"/>
          <w:caps w:val="0"/>
          <w:color w:val="3D3D3D"/>
          <w:spacing w:val="0"/>
          <w:sz w:val="32"/>
          <w:szCs w:val="32"/>
          <w:lang w:eastAsia="zh-CN"/>
        </w:rPr>
        <w:t>等一批政策和</w:t>
      </w:r>
      <w:r>
        <w:rPr>
          <w:rFonts w:hint="eastAsia" w:ascii="仿宋" w:hAnsi="仿宋" w:eastAsia="仿宋" w:cs="仿宋"/>
          <w:b w:val="0"/>
          <w:bCs/>
          <w:i w:val="0"/>
          <w:caps w:val="0"/>
          <w:color w:val="3D3D3D"/>
          <w:spacing w:val="0"/>
          <w:sz w:val="32"/>
          <w:szCs w:val="32"/>
        </w:rPr>
        <w:t>淄博市推进运输结构调整工作实施方案</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2019年新旧动能转换重大项目名单</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重点技术改造项目和重点物流项目名单</w:t>
      </w:r>
      <w:r>
        <w:rPr>
          <w:rFonts w:hint="eastAsia" w:ascii="仿宋" w:hAnsi="仿宋" w:eastAsia="仿宋" w:cs="仿宋"/>
          <w:b w:val="0"/>
          <w:bCs/>
          <w:i w:val="0"/>
          <w:caps w:val="0"/>
          <w:color w:val="3D3D3D"/>
          <w:spacing w:val="0"/>
          <w:sz w:val="32"/>
          <w:szCs w:val="32"/>
          <w:lang w:eastAsia="zh-CN"/>
        </w:rPr>
        <w:t>等一批方案和项目。</w:t>
      </w:r>
      <w:r>
        <w:rPr>
          <w:rFonts w:hint="eastAsia" w:ascii="楷体" w:hAnsi="楷体" w:eastAsia="楷体" w:cs="楷体"/>
          <w:b w:val="0"/>
          <w:bCs/>
          <w:i w:val="0"/>
          <w:caps w:val="0"/>
          <w:color w:val="3D3D3D"/>
          <w:spacing w:val="0"/>
          <w:sz w:val="32"/>
          <w:szCs w:val="32"/>
          <w:lang w:eastAsia="zh-CN"/>
        </w:rPr>
        <w:t>乡村振兴方面：</w:t>
      </w:r>
      <w:r>
        <w:rPr>
          <w:rFonts w:hint="eastAsia" w:ascii="仿宋" w:hAnsi="仿宋" w:eastAsia="仿宋" w:cs="仿宋"/>
          <w:b w:val="0"/>
          <w:bCs/>
          <w:i w:val="0"/>
          <w:caps w:val="0"/>
          <w:color w:val="3D3D3D"/>
          <w:spacing w:val="0"/>
          <w:sz w:val="32"/>
          <w:szCs w:val="32"/>
          <w:lang w:eastAsia="zh-CN"/>
        </w:rPr>
        <w:t>及时公开了</w:t>
      </w:r>
      <w:r>
        <w:rPr>
          <w:rFonts w:hint="eastAsia" w:ascii="仿宋" w:hAnsi="仿宋" w:eastAsia="仿宋" w:cs="仿宋"/>
          <w:b w:val="0"/>
          <w:bCs/>
          <w:i w:val="0"/>
          <w:caps w:val="0"/>
          <w:color w:val="3D3D3D"/>
          <w:spacing w:val="0"/>
          <w:sz w:val="32"/>
          <w:szCs w:val="32"/>
        </w:rPr>
        <w:t>开展“百企建百园”工程推进农村产业发展的实施意见</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推动农村通户道路硬化</w:t>
      </w:r>
      <w:r>
        <w:rPr>
          <w:rFonts w:hint="eastAsia" w:ascii="仿宋" w:hAnsi="仿宋" w:eastAsia="仿宋" w:cs="仿宋"/>
          <w:b w:val="0"/>
          <w:bCs/>
          <w:i w:val="0"/>
          <w:caps w:val="0"/>
          <w:color w:val="3D3D3D"/>
          <w:spacing w:val="0"/>
          <w:sz w:val="32"/>
          <w:szCs w:val="32"/>
          <w:lang w:eastAsia="zh-CN"/>
        </w:rPr>
        <w:t>若干措施、</w:t>
      </w:r>
      <w:r>
        <w:rPr>
          <w:rFonts w:hint="eastAsia" w:ascii="仿宋" w:hAnsi="仿宋" w:eastAsia="仿宋" w:cs="仿宋"/>
          <w:b w:val="0"/>
          <w:bCs/>
          <w:i w:val="0"/>
          <w:caps w:val="0"/>
          <w:color w:val="3D3D3D"/>
          <w:spacing w:val="0"/>
          <w:sz w:val="32"/>
          <w:szCs w:val="32"/>
        </w:rPr>
        <w:t>淄博市新旧动能转换现代高效农业实施方案</w:t>
      </w:r>
      <w:r>
        <w:rPr>
          <w:rFonts w:hint="eastAsia" w:ascii="仿宋" w:hAnsi="仿宋" w:eastAsia="仿宋" w:cs="仿宋"/>
          <w:b w:val="0"/>
          <w:bCs/>
          <w:i w:val="0"/>
          <w:caps w:val="0"/>
          <w:color w:val="3D3D3D"/>
          <w:spacing w:val="0"/>
          <w:sz w:val="32"/>
          <w:szCs w:val="32"/>
          <w:lang w:eastAsia="zh-CN"/>
        </w:rPr>
        <w:t>、创新体制机制推进农业绿色发展实施方案、</w:t>
      </w:r>
      <w:r>
        <w:rPr>
          <w:rFonts w:hint="eastAsia" w:ascii="仿宋" w:hAnsi="仿宋" w:eastAsia="仿宋" w:cs="仿宋"/>
          <w:b w:val="0"/>
          <w:bCs/>
          <w:i w:val="0"/>
          <w:caps w:val="0"/>
          <w:color w:val="3D3D3D"/>
          <w:spacing w:val="0"/>
          <w:sz w:val="32"/>
          <w:szCs w:val="32"/>
        </w:rPr>
        <w:t>淄博市职业技能提升行动工作方案</w:t>
      </w:r>
      <w:r>
        <w:rPr>
          <w:rFonts w:hint="eastAsia" w:ascii="仿宋" w:hAnsi="仿宋" w:eastAsia="仿宋" w:cs="仿宋"/>
          <w:b w:val="0"/>
          <w:bCs/>
          <w:i w:val="0"/>
          <w:caps w:val="0"/>
          <w:color w:val="3D3D3D"/>
          <w:spacing w:val="0"/>
          <w:sz w:val="32"/>
          <w:szCs w:val="32"/>
          <w:lang w:eastAsia="zh-CN"/>
        </w:rPr>
        <w:t>等一系列政策措施和工作方案；通过发放明白纸、新闻报刊宣传、网站发布、微信微博推送、领导干部解读等形式，对农机购置补贴政策等涉农政策措施进行公开和解读。</w:t>
      </w:r>
      <w:r>
        <w:rPr>
          <w:rFonts w:hint="eastAsia" w:ascii="楷体" w:hAnsi="楷体" w:eastAsia="楷体" w:cs="楷体"/>
          <w:b w:val="0"/>
          <w:bCs/>
          <w:i w:val="0"/>
          <w:caps w:val="0"/>
          <w:color w:val="3D3D3D"/>
          <w:spacing w:val="0"/>
          <w:sz w:val="32"/>
          <w:szCs w:val="32"/>
          <w:lang w:eastAsia="zh-CN"/>
        </w:rPr>
        <w:t>三大攻坚战方面：</w:t>
      </w:r>
      <w:r>
        <w:rPr>
          <w:rFonts w:hint="eastAsia" w:ascii="仿宋" w:hAnsi="仿宋" w:eastAsia="仿宋" w:cs="仿宋"/>
          <w:b w:val="0"/>
          <w:bCs/>
          <w:i w:val="0"/>
          <w:caps w:val="0"/>
          <w:color w:val="3D3D3D"/>
          <w:spacing w:val="0"/>
          <w:sz w:val="32"/>
          <w:szCs w:val="32"/>
          <w:lang w:eastAsia="zh-CN"/>
        </w:rPr>
        <w:t>市扶贫办和各区县政府</w:t>
      </w:r>
    </w:p>
    <w:p>
      <w:pPr>
        <w:rPr>
          <w:rFonts w:hint="eastAsia" w:ascii="仿宋" w:hAnsi="仿宋" w:eastAsia="仿宋" w:cs="仿宋"/>
          <w:b w:val="0"/>
          <w:bCs/>
          <w:i w:val="0"/>
          <w:caps w:val="0"/>
          <w:color w:val="3D3D3D"/>
          <w:spacing w:val="0"/>
          <w:sz w:val="32"/>
          <w:szCs w:val="32"/>
          <w:lang w:eastAsia="zh-CN"/>
        </w:rPr>
      </w:pPr>
      <w:r>
        <w:rPr>
          <w:rFonts w:hint="eastAsia" w:ascii="仿宋" w:hAnsi="仿宋" w:eastAsia="仿宋" w:cs="仿宋"/>
          <w:b w:val="0"/>
          <w:bCs/>
          <w:i w:val="0"/>
          <w:caps w:val="0"/>
          <w:color w:val="3D3D3D"/>
          <w:spacing w:val="0"/>
          <w:sz w:val="32"/>
          <w:szCs w:val="32"/>
          <w:lang w:eastAsia="zh-CN"/>
        </w:rPr>
        <w:br w:type="page"/>
      </w:r>
    </w:p>
    <w:p>
      <w:pPr>
        <w:jc w:val="left"/>
        <w:rPr>
          <w:rFonts w:hint="eastAsia" w:ascii="仿宋" w:hAnsi="仿宋" w:eastAsia="仿宋" w:cs="仿宋"/>
          <w:b w:val="0"/>
          <w:bCs/>
          <w:i w:val="0"/>
          <w:caps w:val="0"/>
          <w:color w:val="3D3D3D"/>
          <w:spacing w:val="0"/>
          <w:sz w:val="32"/>
          <w:szCs w:val="32"/>
          <w:lang w:eastAsia="zh-CN"/>
        </w:rPr>
      </w:pPr>
      <w:r>
        <w:drawing>
          <wp:anchor distT="0" distB="0" distL="114300" distR="114300" simplePos="0" relativeHeight="252163072" behindDoc="1" locked="0" layoutInCell="1" allowOverlap="1">
            <wp:simplePos x="0" y="0"/>
            <wp:positionH relativeFrom="column">
              <wp:posOffset>1797685</wp:posOffset>
            </wp:positionH>
            <wp:positionV relativeFrom="paragraph">
              <wp:posOffset>1306195</wp:posOffset>
            </wp:positionV>
            <wp:extent cx="4076065" cy="2637155"/>
            <wp:effectExtent l="9525" t="9525" r="10160" b="20320"/>
            <wp:wrapTight wrapText="bothSides">
              <wp:wrapPolygon>
                <wp:start x="-50" y="-78"/>
                <wp:lineTo x="-50" y="21454"/>
                <wp:lineTo x="21553" y="21454"/>
                <wp:lineTo x="21553" y="-78"/>
                <wp:lineTo x="-50" y="-78"/>
              </wp:wrapPolygon>
            </wp:wrapTight>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8"/>
                    <a:stretch>
                      <a:fillRect/>
                    </a:stretch>
                  </pic:blipFill>
                  <pic:spPr>
                    <a:xfrm>
                      <a:off x="0" y="0"/>
                      <a:ext cx="4076065" cy="2637155"/>
                    </a:xfrm>
                    <a:prstGeom prst="rect">
                      <a:avLst/>
                    </a:prstGeom>
                    <a:noFill/>
                    <a:ln>
                      <a:solidFill>
                        <a:srgbClr val="0000FF"/>
                      </a:solidFill>
                    </a:ln>
                  </pic:spPr>
                </pic:pic>
              </a:graphicData>
            </a:graphic>
          </wp:anchor>
        </w:drawing>
      </w:r>
      <w:r>
        <w:rPr>
          <w:rFonts w:hint="eastAsia" w:ascii="仿宋" w:hAnsi="仿宋" w:eastAsia="仿宋" w:cs="仿宋"/>
          <w:b w:val="0"/>
          <w:bCs/>
          <w:i w:val="0"/>
          <w:caps w:val="0"/>
          <w:color w:val="3D3D3D"/>
          <w:spacing w:val="0"/>
          <w:sz w:val="32"/>
          <w:szCs w:val="32"/>
          <w:lang w:eastAsia="zh-CN"/>
        </w:rPr>
        <w:t>均公开了各类扶贫政策措施、专项规划及其解读材料，并及时公开了年度扶贫资金项目计划安排、实施和完成情况；市生态环境局和各区县政府均按月发布环境空气质量状况，按季度公开饮用水水源水质状况，市水利局、市卫生健康委按季度公开供水厂出水安全状况和用户水龙头水质状况，重点排污单位名录、建设项目环境影响评价审批和竣工环境保护验收信息均及时予以公开，市生态环境局还定期发布各区县环境空气质量状况排名；市地方金融监管局和区县政府均及时公开防范化解重大风险政策措施、政策解读及相关工作动态，着力缓解企业融资难融资贵和风险防控</w:t>
      </w:r>
      <w:r>
        <w:rPr>
          <w:rFonts w:hint="eastAsia" w:ascii="仿宋" w:hAnsi="仿宋" w:eastAsia="仿宋" w:cs="仿宋"/>
          <w:b w:val="0"/>
          <w:bCs/>
          <w:i w:val="0"/>
          <w:caps w:val="0"/>
          <w:color w:val="3D3D3D"/>
          <w:spacing w:val="0"/>
          <w:sz w:val="32"/>
          <w:szCs w:val="32"/>
          <w:lang w:val="en-US" w:eastAsia="zh-CN"/>
        </w:rPr>
        <w:t>等</w:t>
      </w:r>
      <w:r>
        <w:rPr>
          <w:rFonts w:hint="eastAsia" w:ascii="仿宋" w:hAnsi="仿宋" w:eastAsia="仿宋" w:cs="仿宋"/>
          <w:b w:val="0"/>
          <w:bCs/>
          <w:i w:val="0"/>
          <w:caps w:val="0"/>
          <w:color w:val="3D3D3D"/>
          <w:spacing w:val="0"/>
          <w:sz w:val="32"/>
          <w:szCs w:val="32"/>
          <w:lang w:eastAsia="zh-CN"/>
        </w:rPr>
        <w:t>问题。</w:t>
      </w:r>
    </w:p>
    <w:p>
      <w:pPr>
        <w:ind w:firstLine="420" w:firstLineChars="200"/>
        <w:jc w:val="left"/>
        <w:rPr>
          <w:rFonts w:hint="eastAsia" w:ascii="仿宋" w:hAnsi="仿宋" w:eastAsia="仿宋" w:cs="仿宋"/>
          <w:b w:val="0"/>
          <w:bCs/>
          <w:i w:val="0"/>
          <w:caps w:val="0"/>
          <w:color w:val="3D3D3D"/>
          <w:spacing w:val="0"/>
          <w:sz w:val="32"/>
          <w:szCs w:val="32"/>
          <w:lang w:eastAsia="zh-CN"/>
        </w:rPr>
      </w:pPr>
      <w:r>
        <w:drawing>
          <wp:anchor distT="0" distB="0" distL="114300" distR="114300" simplePos="0" relativeHeight="252164096" behindDoc="1" locked="0" layoutInCell="1" allowOverlap="1">
            <wp:simplePos x="0" y="0"/>
            <wp:positionH relativeFrom="column">
              <wp:posOffset>169545</wp:posOffset>
            </wp:positionH>
            <wp:positionV relativeFrom="paragraph">
              <wp:posOffset>448945</wp:posOffset>
            </wp:positionV>
            <wp:extent cx="4394200" cy="2606675"/>
            <wp:effectExtent l="9525" t="9525" r="15875" b="12700"/>
            <wp:wrapTight wrapText="bothSides">
              <wp:wrapPolygon>
                <wp:start x="-47" y="-79"/>
                <wp:lineTo x="-47" y="21547"/>
                <wp:lineTo x="21584" y="21547"/>
                <wp:lineTo x="21584" y="-79"/>
                <wp:lineTo x="-47" y="-79"/>
              </wp:wrapPolygon>
            </wp:wrapTight>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9"/>
                    <a:stretch>
                      <a:fillRect/>
                    </a:stretch>
                  </pic:blipFill>
                  <pic:spPr>
                    <a:xfrm>
                      <a:off x="0" y="0"/>
                      <a:ext cx="4394200" cy="2606675"/>
                    </a:xfrm>
                    <a:prstGeom prst="rect">
                      <a:avLst/>
                    </a:prstGeom>
                    <a:noFill/>
                    <a:ln>
                      <a:solidFill>
                        <a:srgbClr val="0000FF"/>
                      </a:solidFill>
                    </a:ln>
                  </pic:spPr>
                </pic:pic>
              </a:graphicData>
            </a:graphic>
          </wp:anchor>
        </w:drawing>
      </w:r>
      <w:r>
        <w:rPr>
          <w:rFonts w:hint="eastAsia" w:ascii="楷体" w:hAnsi="楷体" w:eastAsia="楷体" w:cs="楷体"/>
          <w:sz w:val="32"/>
          <w:szCs w:val="32"/>
        </w:rPr>
        <w:t>二是围绕优化营商环境做好信息公开。</w:t>
      </w:r>
      <w:r>
        <w:rPr>
          <w:rFonts w:hint="eastAsia" w:ascii="楷体" w:hAnsi="楷体" w:eastAsia="楷体" w:cs="楷体"/>
          <w:sz w:val="32"/>
          <w:szCs w:val="32"/>
          <w:lang w:eastAsia="zh-CN"/>
        </w:rPr>
        <w:t>行政权力方面：</w:t>
      </w:r>
      <w:r>
        <w:rPr>
          <w:rFonts w:hint="eastAsia" w:ascii="仿宋" w:hAnsi="仿宋" w:eastAsia="仿宋" w:cs="仿宋"/>
          <w:b w:val="0"/>
          <w:bCs/>
          <w:i w:val="0"/>
          <w:caps w:val="0"/>
          <w:color w:val="3D3D3D"/>
          <w:spacing w:val="0"/>
          <w:sz w:val="32"/>
          <w:szCs w:val="32"/>
          <w:lang w:eastAsia="zh-CN"/>
        </w:rPr>
        <w:t>市政府年内</w:t>
      </w:r>
      <w:r>
        <w:rPr>
          <w:rFonts w:hint="eastAsia" w:ascii="仿宋" w:hAnsi="仿宋" w:eastAsia="仿宋" w:cs="仿宋"/>
          <w:b w:val="0"/>
          <w:bCs/>
          <w:i w:val="0"/>
          <w:caps w:val="0"/>
          <w:color w:val="3D3D3D"/>
          <w:spacing w:val="0"/>
          <w:sz w:val="32"/>
          <w:szCs w:val="32"/>
          <w:lang w:val="en-US" w:eastAsia="zh-CN"/>
        </w:rPr>
        <w:t>3次及时公开</w:t>
      </w:r>
      <w:r>
        <w:rPr>
          <w:rFonts w:hint="eastAsia" w:ascii="仿宋" w:hAnsi="仿宋" w:eastAsia="仿宋" w:cs="仿宋"/>
          <w:b w:val="0"/>
          <w:bCs/>
          <w:i w:val="0"/>
          <w:caps w:val="0"/>
          <w:color w:val="3D3D3D"/>
          <w:spacing w:val="0"/>
          <w:sz w:val="32"/>
          <w:szCs w:val="32"/>
        </w:rPr>
        <w:t>取消</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下放</w:t>
      </w:r>
      <w:r>
        <w:rPr>
          <w:rFonts w:hint="eastAsia" w:ascii="仿宋" w:hAnsi="仿宋" w:eastAsia="仿宋" w:cs="仿宋"/>
          <w:b w:val="0"/>
          <w:bCs/>
          <w:i w:val="0"/>
          <w:caps w:val="0"/>
          <w:color w:val="3D3D3D"/>
          <w:spacing w:val="0"/>
          <w:sz w:val="32"/>
          <w:szCs w:val="32"/>
          <w:lang w:eastAsia="zh-CN"/>
        </w:rPr>
        <w:t>、承接、调整的行政权力事项；按照“三级四同”要求，通过淄博政务服</w:t>
      </w:r>
    </w:p>
    <w:p>
      <w:pPr>
        <w:rPr>
          <w:rFonts w:hint="eastAsia" w:ascii="仿宋" w:hAnsi="仿宋" w:eastAsia="仿宋" w:cs="仿宋"/>
          <w:b w:val="0"/>
          <w:bCs/>
          <w:i w:val="0"/>
          <w:caps w:val="0"/>
          <w:color w:val="3D3D3D"/>
          <w:spacing w:val="0"/>
          <w:sz w:val="32"/>
          <w:szCs w:val="32"/>
          <w:lang w:eastAsia="zh-CN"/>
        </w:rPr>
      </w:pPr>
      <w:r>
        <w:rPr>
          <w:rFonts w:hint="eastAsia" w:ascii="仿宋" w:hAnsi="仿宋" w:eastAsia="仿宋" w:cs="仿宋"/>
          <w:b w:val="0"/>
          <w:bCs/>
          <w:i w:val="0"/>
          <w:caps w:val="0"/>
          <w:color w:val="3D3D3D"/>
          <w:spacing w:val="0"/>
          <w:sz w:val="32"/>
          <w:szCs w:val="32"/>
          <w:lang w:eastAsia="zh-CN"/>
        </w:rPr>
        <w:br w:type="page"/>
      </w:r>
    </w:p>
    <w:p>
      <w:pPr>
        <w:jc w:val="left"/>
        <w:rPr>
          <w:rFonts w:hint="eastAsia" w:ascii="仿宋" w:hAnsi="仿宋" w:eastAsia="仿宋" w:cs="仿宋"/>
          <w:b w:val="0"/>
          <w:bCs/>
          <w:sz w:val="32"/>
          <w:szCs w:val="32"/>
          <w:lang w:eastAsia="zh-CN"/>
        </w:rPr>
      </w:pPr>
      <w:r>
        <w:drawing>
          <wp:anchor distT="0" distB="0" distL="114300" distR="114300" simplePos="0" relativeHeight="252165120" behindDoc="1" locked="0" layoutInCell="1" allowOverlap="1">
            <wp:simplePos x="0" y="0"/>
            <wp:positionH relativeFrom="column">
              <wp:posOffset>4149090</wp:posOffset>
            </wp:positionH>
            <wp:positionV relativeFrom="paragraph">
              <wp:posOffset>5571490</wp:posOffset>
            </wp:positionV>
            <wp:extent cx="1911985" cy="2369820"/>
            <wp:effectExtent l="9525" t="9525" r="21590" b="20955"/>
            <wp:wrapTight wrapText="bothSides">
              <wp:wrapPolygon>
                <wp:start x="-108" y="-87"/>
                <wp:lineTo x="-108" y="21444"/>
                <wp:lineTo x="21413" y="21444"/>
                <wp:lineTo x="21413" y="-87"/>
                <wp:lineTo x="-108" y="-87"/>
              </wp:wrapPolygon>
            </wp:wrapTight>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0"/>
                    <a:stretch>
                      <a:fillRect/>
                    </a:stretch>
                  </pic:blipFill>
                  <pic:spPr>
                    <a:xfrm>
                      <a:off x="0" y="0"/>
                      <a:ext cx="1911985" cy="2369820"/>
                    </a:xfrm>
                    <a:prstGeom prst="rect">
                      <a:avLst/>
                    </a:prstGeom>
                    <a:noFill/>
                    <a:ln>
                      <a:solidFill>
                        <a:srgbClr val="0000FF"/>
                      </a:solidFill>
                    </a:ln>
                  </pic:spPr>
                </pic:pic>
              </a:graphicData>
            </a:graphic>
          </wp:anchor>
        </w:drawing>
      </w:r>
      <w:r>
        <w:drawing>
          <wp:anchor distT="0" distB="0" distL="114300" distR="114300" simplePos="0" relativeHeight="270429184" behindDoc="1" locked="0" layoutInCell="1" allowOverlap="1">
            <wp:simplePos x="0" y="0"/>
            <wp:positionH relativeFrom="column">
              <wp:posOffset>82550</wp:posOffset>
            </wp:positionH>
            <wp:positionV relativeFrom="paragraph">
              <wp:posOffset>455930</wp:posOffset>
            </wp:positionV>
            <wp:extent cx="1896110" cy="2590800"/>
            <wp:effectExtent l="9525" t="9525" r="18415" b="0"/>
            <wp:wrapTight wrapText="bothSides">
              <wp:wrapPolygon>
                <wp:start x="-109" y="-79"/>
                <wp:lineTo x="-109" y="21521"/>
                <wp:lineTo x="21593" y="21521"/>
                <wp:lineTo x="21593" y="-79"/>
                <wp:lineTo x="-109" y="-79"/>
              </wp:wrapPolygon>
            </wp:wrapTight>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31"/>
                    <a:stretch>
                      <a:fillRect/>
                    </a:stretch>
                  </pic:blipFill>
                  <pic:spPr>
                    <a:xfrm>
                      <a:off x="0" y="0"/>
                      <a:ext cx="1896110" cy="2590800"/>
                    </a:xfrm>
                    <a:prstGeom prst="rect">
                      <a:avLst/>
                    </a:prstGeom>
                    <a:noFill/>
                    <a:ln>
                      <a:solidFill>
                        <a:srgbClr val="0000FF"/>
                      </a:solidFill>
                    </a:ln>
                  </pic:spPr>
                </pic:pic>
              </a:graphicData>
            </a:graphic>
          </wp:anchor>
        </w:drawing>
      </w:r>
      <w:r>
        <w:rPr>
          <w:rFonts w:hint="eastAsia" w:ascii="仿宋" w:hAnsi="仿宋" w:eastAsia="仿宋" w:cs="仿宋"/>
          <w:b w:val="0"/>
          <w:bCs/>
          <w:i w:val="0"/>
          <w:caps w:val="0"/>
          <w:color w:val="3D3D3D"/>
          <w:spacing w:val="0"/>
          <w:sz w:val="32"/>
          <w:szCs w:val="32"/>
          <w:lang w:eastAsia="zh-CN"/>
        </w:rPr>
        <w:t>务网集中公开各级各部门的权责清单。</w:t>
      </w:r>
      <w:r>
        <w:rPr>
          <w:rFonts w:hint="eastAsia" w:ascii="楷体" w:hAnsi="楷体" w:eastAsia="楷体" w:cs="楷体"/>
          <w:b w:val="0"/>
          <w:bCs/>
          <w:i w:val="0"/>
          <w:caps w:val="0"/>
          <w:color w:val="3D3D3D"/>
          <w:spacing w:val="0"/>
          <w:sz w:val="32"/>
          <w:szCs w:val="32"/>
          <w:lang w:eastAsia="zh-CN"/>
        </w:rPr>
        <w:t>政策措施方面：</w:t>
      </w:r>
      <w:r>
        <w:rPr>
          <w:rFonts w:hint="eastAsia" w:ascii="仿宋" w:hAnsi="仿宋" w:eastAsia="仿宋" w:cs="仿宋"/>
          <w:b w:val="0"/>
          <w:bCs/>
          <w:i w:val="0"/>
          <w:caps w:val="0"/>
          <w:color w:val="3D3D3D"/>
          <w:spacing w:val="0"/>
          <w:sz w:val="32"/>
          <w:szCs w:val="32"/>
          <w:lang w:eastAsia="zh-CN"/>
        </w:rPr>
        <w:t>公开了</w:t>
      </w:r>
      <w:r>
        <w:rPr>
          <w:rFonts w:hint="eastAsia" w:ascii="仿宋" w:hAnsi="仿宋" w:eastAsia="仿宋" w:cs="仿宋"/>
          <w:b w:val="0"/>
          <w:bCs/>
          <w:i w:val="0"/>
          <w:caps w:val="0"/>
          <w:color w:val="3D3D3D"/>
          <w:spacing w:val="0"/>
          <w:sz w:val="32"/>
          <w:szCs w:val="32"/>
        </w:rPr>
        <w:t>加强全市便民服务体系建设的实施意见</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淄博市公共机构综合能效提升项目实施方案</w:t>
      </w:r>
      <w:r>
        <w:rPr>
          <w:rFonts w:hint="eastAsia" w:ascii="仿宋" w:hAnsi="仿宋" w:eastAsia="仿宋" w:cs="仿宋"/>
          <w:b w:val="0"/>
          <w:bCs/>
          <w:i w:val="0"/>
          <w:caps w:val="0"/>
          <w:color w:val="3D3D3D"/>
          <w:spacing w:val="0"/>
          <w:sz w:val="32"/>
          <w:szCs w:val="32"/>
          <w:lang w:eastAsia="zh-CN"/>
        </w:rPr>
        <w:t>等一批优化营商环境的政策措施；</w:t>
      </w:r>
      <w:r>
        <w:rPr>
          <w:rFonts w:hint="eastAsia" w:ascii="仿宋" w:hAnsi="仿宋" w:eastAsia="仿宋" w:cs="仿宋"/>
          <w:b w:val="0"/>
          <w:bCs/>
          <w:i w:val="0"/>
          <w:caps w:val="0"/>
          <w:color w:val="3D3D3D"/>
          <w:spacing w:val="0"/>
          <w:sz w:val="32"/>
          <w:szCs w:val="32"/>
        </w:rPr>
        <w:t>组织对现行有效的政府规章进行了清理，</w:t>
      </w:r>
      <w:r>
        <w:rPr>
          <w:rFonts w:hint="eastAsia" w:ascii="仿宋" w:hAnsi="仿宋" w:eastAsia="仿宋" w:cs="仿宋"/>
          <w:b w:val="0"/>
          <w:bCs/>
          <w:i w:val="0"/>
          <w:caps w:val="0"/>
          <w:color w:val="3D3D3D"/>
          <w:spacing w:val="0"/>
          <w:sz w:val="32"/>
          <w:szCs w:val="32"/>
          <w:lang w:eastAsia="zh-CN"/>
        </w:rPr>
        <w:t>将</w:t>
      </w:r>
      <w:r>
        <w:rPr>
          <w:rFonts w:hint="eastAsia" w:ascii="仿宋" w:hAnsi="仿宋" w:eastAsia="仿宋" w:cs="仿宋"/>
          <w:b w:val="0"/>
          <w:bCs/>
          <w:i w:val="0"/>
          <w:caps w:val="0"/>
          <w:color w:val="3D3D3D"/>
          <w:spacing w:val="0"/>
          <w:sz w:val="32"/>
          <w:szCs w:val="32"/>
        </w:rPr>
        <w:t>确定保留</w:t>
      </w:r>
      <w:r>
        <w:rPr>
          <w:rFonts w:hint="eastAsia" w:ascii="仿宋" w:hAnsi="仿宋" w:eastAsia="仿宋" w:cs="仿宋"/>
          <w:b w:val="0"/>
          <w:bCs/>
          <w:i w:val="0"/>
          <w:caps w:val="0"/>
          <w:color w:val="3D3D3D"/>
          <w:spacing w:val="0"/>
          <w:sz w:val="32"/>
          <w:szCs w:val="32"/>
          <w:lang w:eastAsia="zh-CN"/>
        </w:rPr>
        <w:t>的</w:t>
      </w:r>
      <w:r>
        <w:rPr>
          <w:rFonts w:hint="eastAsia" w:ascii="仿宋" w:hAnsi="仿宋" w:eastAsia="仿宋" w:cs="仿宋"/>
          <w:b w:val="0"/>
          <w:bCs/>
          <w:i w:val="0"/>
          <w:caps w:val="0"/>
          <w:color w:val="3D3D3D"/>
          <w:spacing w:val="0"/>
          <w:sz w:val="32"/>
          <w:szCs w:val="32"/>
        </w:rPr>
        <w:t>市政府规章60件</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废止</w:t>
      </w:r>
      <w:r>
        <w:rPr>
          <w:rFonts w:hint="eastAsia" w:ascii="仿宋" w:hAnsi="仿宋" w:eastAsia="仿宋" w:cs="仿宋"/>
          <w:b w:val="0"/>
          <w:bCs/>
          <w:i w:val="0"/>
          <w:caps w:val="0"/>
          <w:color w:val="3D3D3D"/>
          <w:spacing w:val="0"/>
          <w:sz w:val="32"/>
          <w:szCs w:val="32"/>
          <w:lang w:eastAsia="zh-CN"/>
        </w:rPr>
        <w:t>的</w:t>
      </w:r>
      <w:r>
        <w:rPr>
          <w:rFonts w:hint="eastAsia" w:ascii="仿宋" w:hAnsi="仿宋" w:eastAsia="仿宋" w:cs="仿宋"/>
          <w:b w:val="0"/>
          <w:bCs/>
          <w:i w:val="0"/>
          <w:caps w:val="0"/>
          <w:color w:val="3D3D3D"/>
          <w:spacing w:val="0"/>
          <w:sz w:val="32"/>
          <w:szCs w:val="32"/>
        </w:rPr>
        <w:t>14件</w:t>
      </w:r>
      <w:r>
        <w:rPr>
          <w:rFonts w:hint="eastAsia" w:ascii="仿宋" w:hAnsi="仿宋" w:eastAsia="仿宋" w:cs="仿宋"/>
          <w:b w:val="0"/>
          <w:bCs/>
          <w:i w:val="0"/>
          <w:caps w:val="0"/>
          <w:color w:val="3D3D3D"/>
          <w:spacing w:val="0"/>
          <w:sz w:val="32"/>
          <w:szCs w:val="32"/>
          <w:lang w:eastAsia="zh-CN"/>
        </w:rPr>
        <w:t>及时公开；</w:t>
      </w:r>
      <w:r>
        <w:rPr>
          <w:rFonts w:hint="eastAsia" w:ascii="仿宋" w:hAnsi="仿宋" w:eastAsia="仿宋" w:cs="仿宋"/>
          <w:b w:val="0"/>
          <w:bCs/>
          <w:i w:val="0"/>
          <w:caps w:val="0"/>
          <w:color w:val="3D3D3D"/>
          <w:spacing w:val="0"/>
          <w:sz w:val="32"/>
          <w:szCs w:val="32"/>
        </w:rPr>
        <w:t>组织对2019年1月1日前制定、现行有效的市政府和市政府办公室规范性文件进行了集中清理</w:t>
      </w:r>
      <w:r>
        <w:rPr>
          <w:rFonts w:hint="eastAsia" w:ascii="仿宋" w:hAnsi="仿宋" w:eastAsia="仿宋" w:cs="仿宋"/>
          <w:b w:val="0"/>
          <w:bCs/>
          <w:i w:val="0"/>
          <w:caps w:val="0"/>
          <w:color w:val="3D3D3D"/>
          <w:spacing w:val="0"/>
          <w:sz w:val="32"/>
          <w:szCs w:val="32"/>
          <w:lang w:eastAsia="zh-CN"/>
        </w:rPr>
        <w:t>，对</w:t>
      </w:r>
      <w:r>
        <w:rPr>
          <w:rFonts w:hint="eastAsia" w:ascii="仿宋" w:hAnsi="仿宋" w:eastAsia="仿宋" w:cs="仿宋"/>
          <w:b w:val="0"/>
          <w:bCs/>
          <w:i w:val="0"/>
          <w:caps w:val="0"/>
          <w:color w:val="3D3D3D"/>
          <w:spacing w:val="0"/>
          <w:sz w:val="32"/>
          <w:szCs w:val="32"/>
        </w:rPr>
        <w:t>决定保留</w:t>
      </w:r>
      <w:r>
        <w:rPr>
          <w:rFonts w:hint="eastAsia" w:ascii="仿宋" w:hAnsi="仿宋" w:eastAsia="仿宋" w:cs="仿宋"/>
          <w:b w:val="0"/>
          <w:bCs/>
          <w:i w:val="0"/>
          <w:caps w:val="0"/>
          <w:color w:val="3D3D3D"/>
          <w:spacing w:val="0"/>
          <w:sz w:val="32"/>
          <w:szCs w:val="32"/>
          <w:lang w:eastAsia="zh-CN"/>
        </w:rPr>
        <w:t>的</w:t>
      </w:r>
      <w:r>
        <w:rPr>
          <w:rFonts w:hint="eastAsia" w:ascii="仿宋" w:hAnsi="仿宋" w:eastAsia="仿宋" w:cs="仿宋"/>
          <w:b w:val="0"/>
          <w:bCs/>
          <w:i w:val="0"/>
          <w:caps w:val="0"/>
          <w:color w:val="3D3D3D"/>
          <w:spacing w:val="0"/>
          <w:sz w:val="32"/>
          <w:szCs w:val="32"/>
        </w:rPr>
        <w:t>市政府规范性文件50件、市政府办公室规范性文件98件</w:t>
      </w:r>
      <w:r>
        <w:rPr>
          <w:rFonts w:hint="eastAsia" w:ascii="仿宋" w:hAnsi="仿宋" w:eastAsia="仿宋" w:cs="仿宋"/>
          <w:b w:val="0"/>
          <w:bCs/>
          <w:i w:val="0"/>
          <w:caps w:val="0"/>
          <w:color w:val="3D3D3D"/>
          <w:spacing w:val="0"/>
          <w:sz w:val="32"/>
          <w:szCs w:val="32"/>
          <w:lang w:eastAsia="zh-CN"/>
        </w:rPr>
        <w:t>和决定</w:t>
      </w:r>
      <w:r>
        <w:rPr>
          <w:rFonts w:hint="eastAsia" w:ascii="仿宋" w:hAnsi="仿宋" w:eastAsia="仿宋" w:cs="仿宋"/>
          <w:b w:val="0"/>
          <w:bCs/>
          <w:i w:val="0"/>
          <w:caps w:val="0"/>
          <w:color w:val="3D3D3D"/>
          <w:spacing w:val="0"/>
          <w:sz w:val="32"/>
          <w:szCs w:val="32"/>
        </w:rPr>
        <w:t>废止</w:t>
      </w:r>
      <w:r>
        <w:rPr>
          <w:rFonts w:hint="eastAsia" w:ascii="仿宋" w:hAnsi="仿宋" w:eastAsia="仿宋" w:cs="仿宋"/>
          <w:b w:val="0"/>
          <w:bCs/>
          <w:i w:val="0"/>
          <w:caps w:val="0"/>
          <w:color w:val="3D3D3D"/>
          <w:spacing w:val="0"/>
          <w:sz w:val="32"/>
          <w:szCs w:val="32"/>
          <w:lang w:eastAsia="zh-CN"/>
        </w:rPr>
        <w:t>的</w:t>
      </w:r>
      <w:r>
        <w:rPr>
          <w:rFonts w:hint="eastAsia" w:ascii="仿宋" w:hAnsi="仿宋" w:eastAsia="仿宋" w:cs="仿宋"/>
          <w:b w:val="0"/>
          <w:bCs/>
          <w:i w:val="0"/>
          <w:caps w:val="0"/>
          <w:color w:val="3D3D3D"/>
          <w:spacing w:val="0"/>
          <w:sz w:val="32"/>
          <w:szCs w:val="32"/>
        </w:rPr>
        <w:t>市政府规范性文件6件、市政府办公室规范性文件21件</w:t>
      </w:r>
      <w:r>
        <w:rPr>
          <w:rFonts w:hint="eastAsia" w:ascii="仿宋" w:hAnsi="仿宋" w:eastAsia="仿宋" w:cs="仿宋"/>
          <w:b w:val="0"/>
          <w:bCs/>
          <w:i w:val="0"/>
          <w:caps w:val="0"/>
          <w:color w:val="3D3D3D"/>
          <w:spacing w:val="0"/>
          <w:sz w:val="32"/>
          <w:szCs w:val="32"/>
          <w:lang w:eastAsia="zh-CN"/>
        </w:rPr>
        <w:t>及时予以公开。</w:t>
      </w:r>
      <w:r>
        <w:rPr>
          <w:rFonts w:hint="eastAsia" w:ascii="楷体" w:hAnsi="楷体" w:eastAsia="楷体" w:cs="楷体"/>
          <w:b w:val="0"/>
          <w:bCs/>
          <w:i w:val="0"/>
          <w:caps w:val="0"/>
          <w:color w:val="3D3D3D"/>
          <w:spacing w:val="0"/>
          <w:sz w:val="32"/>
          <w:szCs w:val="32"/>
          <w:lang w:eastAsia="zh-CN"/>
        </w:rPr>
        <w:t>减税降费方面：</w:t>
      </w:r>
      <w:r>
        <w:rPr>
          <w:rFonts w:hint="eastAsia" w:ascii="仿宋" w:hAnsi="仿宋" w:eastAsia="仿宋" w:cs="仿宋"/>
          <w:b w:val="0"/>
          <w:bCs/>
          <w:i w:val="0"/>
          <w:caps w:val="0"/>
          <w:color w:val="3D3D3D"/>
          <w:spacing w:val="0"/>
          <w:sz w:val="32"/>
          <w:szCs w:val="32"/>
          <w:lang w:eastAsia="zh-CN"/>
        </w:rPr>
        <w:t>市财政局和区县政府公开了各级行政事业性政府性基金目录，项目名称、政策依据、征收主体及资金管理方式等要素齐全；市发改委及区县政府及时发布了政府定价或指导价经营服务性收费目录。</w:t>
      </w:r>
      <w:r>
        <w:rPr>
          <w:rFonts w:hint="eastAsia" w:ascii="楷体" w:hAnsi="楷体" w:eastAsia="楷体" w:cs="楷体"/>
          <w:b w:val="0"/>
          <w:bCs/>
          <w:i w:val="0"/>
          <w:caps w:val="0"/>
          <w:color w:val="3D3D3D"/>
          <w:spacing w:val="0"/>
          <w:sz w:val="32"/>
          <w:szCs w:val="32"/>
          <w:lang w:eastAsia="zh-CN"/>
        </w:rPr>
        <w:t>提高服务效能方面：</w:t>
      </w:r>
      <w:r>
        <w:rPr>
          <w:rFonts w:hint="eastAsia" w:ascii="仿宋" w:hAnsi="仿宋" w:eastAsia="仿宋" w:cs="仿宋"/>
          <w:b w:val="0"/>
          <w:bCs/>
          <w:i w:val="0"/>
          <w:caps w:val="0"/>
          <w:color w:val="3D3D3D"/>
          <w:spacing w:val="0"/>
          <w:sz w:val="32"/>
          <w:szCs w:val="32"/>
          <w:lang w:eastAsia="zh-CN"/>
        </w:rPr>
        <w:t>市司法局和区县政府对确需保留的证明事项实行清单管理并及时向社会公开；</w:t>
      </w:r>
      <w:r>
        <w:rPr>
          <w:rFonts w:hint="eastAsia" w:ascii="仿宋" w:hAnsi="仿宋" w:eastAsia="仿宋" w:cs="仿宋"/>
          <w:b w:val="0"/>
          <w:bCs/>
          <w:i w:val="0"/>
          <w:caps w:val="0"/>
          <w:color w:val="3D3D3D"/>
          <w:spacing w:val="0"/>
          <w:sz w:val="32"/>
          <w:szCs w:val="32"/>
        </w:rPr>
        <w:t>实施流程再造推进“一窗受理·一次办好”</w:t>
      </w:r>
      <w:r>
        <w:rPr>
          <w:rFonts w:hint="eastAsia" w:ascii="仿宋" w:hAnsi="仿宋" w:eastAsia="仿宋" w:cs="仿宋"/>
          <w:b w:val="0"/>
          <w:bCs/>
          <w:i w:val="0"/>
          <w:caps w:val="0"/>
          <w:color w:val="3D3D3D"/>
          <w:spacing w:val="0"/>
          <w:sz w:val="32"/>
          <w:szCs w:val="32"/>
          <w:lang w:eastAsia="zh-CN"/>
        </w:rPr>
        <w:t>，市行政审批服务局组织对全市各级行政权力事项和行政服务事项进行梳理并通过淄博政务服务网统一集中向社会公开。</w:t>
      </w:r>
    </w:p>
    <w:p>
      <w:pPr>
        <w:ind w:firstLine="640" w:firstLineChars="200"/>
        <w:jc w:val="left"/>
        <w:rPr>
          <w:rFonts w:hint="eastAsia" w:ascii="仿宋" w:hAnsi="仿宋" w:eastAsia="仿宋" w:cs="仿宋"/>
          <w:b w:val="0"/>
          <w:bCs/>
          <w:i w:val="0"/>
          <w:caps w:val="0"/>
          <w:color w:val="3D3D3D"/>
          <w:spacing w:val="0"/>
          <w:sz w:val="32"/>
          <w:szCs w:val="32"/>
          <w:lang w:eastAsia="zh-CN"/>
        </w:rPr>
      </w:pPr>
      <w:r>
        <w:rPr>
          <w:rFonts w:hint="eastAsia" w:ascii="楷体" w:hAnsi="楷体" w:eastAsia="楷体" w:cs="楷体"/>
          <w:sz w:val="32"/>
          <w:szCs w:val="32"/>
        </w:rPr>
        <w:t>三是围绕社会监督重点做好信息公开。</w:t>
      </w:r>
      <w:r>
        <w:rPr>
          <w:rFonts w:hint="eastAsia" w:ascii="楷体" w:hAnsi="楷体" w:eastAsia="楷体" w:cs="楷体"/>
          <w:sz w:val="32"/>
          <w:szCs w:val="32"/>
          <w:lang w:eastAsia="zh-CN"/>
        </w:rPr>
        <w:t>财政资金方面：</w:t>
      </w:r>
      <w:r>
        <w:rPr>
          <w:rFonts w:hint="eastAsia" w:ascii="仿宋" w:hAnsi="仿宋" w:eastAsia="仿宋" w:cs="仿宋"/>
          <w:b w:val="0"/>
          <w:bCs/>
          <w:i w:val="0"/>
          <w:caps w:val="0"/>
          <w:color w:val="3D3D3D"/>
          <w:spacing w:val="0"/>
          <w:sz w:val="32"/>
          <w:szCs w:val="32"/>
          <w:lang w:eastAsia="zh-CN"/>
        </w:rPr>
        <w:t>市财政局开通“淄博市预决算公开平台”，集中公布市和区县两级的财政</w:t>
      </w:r>
    </w:p>
    <w:p>
      <w:pPr>
        <w:rPr>
          <w:rFonts w:hint="eastAsia" w:ascii="仿宋" w:hAnsi="仿宋" w:eastAsia="仿宋" w:cs="仿宋"/>
          <w:b w:val="0"/>
          <w:bCs/>
          <w:i w:val="0"/>
          <w:caps w:val="0"/>
          <w:color w:val="3D3D3D"/>
          <w:spacing w:val="0"/>
          <w:sz w:val="32"/>
          <w:szCs w:val="32"/>
          <w:lang w:eastAsia="zh-CN"/>
        </w:rPr>
      </w:pPr>
      <w:r>
        <w:rPr>
          <w:rFonts w:hint="eastAsia" w:ascii="仿宋" w:hAnsi="仿宋" w:eastAsia="仿宋" w:cs="仿宋"/>
          <w:b w:val="0"/>
          <w:bCs/>
          <w:i w:val="0"/>
          <w:caps w:val="0"/>
          <w:color w:val="3D3D3D"/>
          <w:spacing w:val="0"/>
          <w:sz w:val="32"/>
          <w:szCs w:val="32"/>
          <w:lang w:eastAsia="zh-CN"/>
        </w:rPr>
        <w:br w:type="page"/>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仿宋" w:hAnsi="仿宋" w:eastAsia="仿宋" w:cs="仿宋"/>
          <w:b w:val="0"/>
          <w:bCs/>
          <w:i w:val="0"/>
          <w:caps w:val="0"/>
          <w:color w:val="3D3D3D"/>
          <w:spacing w:val="0"/>
          <w:sz w:val="32"/>
          <w:szCs w:val="32"/>
          <w:lang w:val="en-US" w:eastAsia="zh-CN"/>
        </w:rPr>
      </w:pPr>
      <w:r>
        <w:drawing>
          <wp:anchor distT="0" distB="0" distL="114300" distR="114300" simplePos="0" relativeHeight="270427136" behindDoc="1" locked="0" layoutInCell="1" allowOverlap="1">
            <wp:simplePos x="0" y="0"/>
            <wp:positionH relativeFrom="column">
              <wp:posOffset>-116205</wp:posOffset>
            </wp:positionH>
            <wp:positionV relativeFrom="paragraph">
              <wp:posOffset>5330190</wp:posOffset>
            </wp:positionV>
            <wp:extent cx="3733800" cy="2696845"/>
            <wp:effectExtent l="9525" t="9525" r="47625" b="36830"/>
            <wp:wrapTight wrapText="bothSides">
              <wp:wrapPolygon>
                <wp:start x="-55" y="-76"/>
                <wp:lineTo x="-55" y="21590"/>
                <wp:lineTo x="21545" y="21590"/>
                <wp:lineTo x="21545" y="-76"/>
                <wp:lineTo x="-55" y="-76"/>
              </wp:wrapPolygon>
            </wp:wrapTight>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32"/>
                    <a:stretch>
                      <a:fillRect/>
                    </a:stretch>
                  </pic:blipFill>
                  <pic:spPr>
                    <a:xfrm>
                      <a:off x="0" y="0"/>
                      <a:ext cx="3733800" cy="2696845"/>
                    </a:xfrm>
                    <a:prstGeom prst="rect">
                      <a:avLst/>
                    </a:prstGeom>
                    <a:noFill/>
                    <a:ln>
                      <a:solidFill>
                        <a:srgbClr val="0000FF"/>
                      </a:solidFill>
                    </a:ln>
                  </pic:spPr>
                </pic:pic>
              </a:graphicData>
            </a:graphic>
          </wp:anchor>
        </w:drawing>
      </w:r>
      <w:r>
        <w:drawing>
          <wp:anchor distT="0" distB="0" distL="114300" distR="114300" simplePos="0" relativeHeight="252214272" behindDoc="1" locked="0" layoutInCell="1" allowOverlap="1">
            <wp:simplePos x="0" y="0"/>
            <wp:positionH relativeFrom="column">
              <wp:posOffset>88900</wp:posOffset>
            </wp:positionH>
            <wp:positionV relativeFrom="paragraph">
              <wp:posOffset>429260</wp:posOffset>
            </wp:positionV>
            <wp:extent cx="5021580" cy="2443480"/>
            <wp:effectExtent l="9525" t="9525" r="0" b="0"/>
            <wp:wrapTight wrapText="bothSides">
              <wp:wrapPolygon>
                <wp:start x="-41" y="-84"/>
                <wp:lineTo x="-41" y="21471"/>
                <wp:lineTo x="21592" y="21471"/>
                <wp:lineTo x="21592" y="-84"/>
                <wp:lineTo x="-41" y="-84"/>
              </wp:wrapPolygon>
            </wp:wrapTight>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3"/>
                    <a:stretch>
                      <a:fillRect/>
                    </a:stretch>
                  </pic:blipFill>
                  <pic:spPr>
                    <a:xfrm>
                      <a:off x="0" y="0"/>
                      <a:ext cx="5021580" cy="2443480"/>
                    </a:xfrm>
                    <a:prstGeom prst="rect">
                      <a:avLst/>
                    </a:prstGeom>
                    <a:noFill/>
                    <a:ln>
                      <a:solidFill>
                        <a:srgbClr val="0000FF"/>
                      </a:solidFill>
                    </a:ln>
                  </pic:spPr>
                </pic:pic>
              </a:graphicData>
            </a:graphic>
          </wp:anchor>
        </w:drawing>
      </w:r>
      <w:r>
        <w:rPr>
          <w:rFonts w:hint="eastAsia" w:ascii="仿宋" w:hAnsi="仿宋" w:eastAsia="仿宋" w:cs="仿宋"/>
          <w:b w:val="0"/>
          <w:bCs/>
          <w:i w:val="0"/>
          <w:caps w:val="0"/>
          <w:color w:val="3D3D3D"/>
          <w:spacing w:val="0"/>
          <w:sz w:val="32"/>
          <w:szCs w:val="32"/>
          <w:lang w:eastAsia="zh-CN"/>
        </w:rPr>
        <w:t>预决算和部门预决算信息，预决算报告详细发布预决算说明、预决算表格、“三公”经费预决算和重点项目信息；市财政局和区县政府按月公开财政收支信息、地方政府债券发行和债务余额情况。</w:t>
      </w:r>
      <w:r>
        <w:rPr>
          <w:rFonts w:hint="eastAsia" w:ascii="楷体" w:hAnsi="楷体" w:eastAsia="楷体" w:cs="楷体"/>
          <w:b w:val="0"/>
          <w:bCs/>
          <w:i w:val="0"/>
          <w:caps w:val="0"/>
          <w:color w:val="3D3D3D"/>
          <w:spacing w:val="0"/>
          <w:sz w:val="32"/>
          <w:szCs w:val="32"/>
          <w:lang w:eastAsia="zh-CN"/>
        </w:rPr>
        <w:t>双随机一公开方面：</w:t>
      </w:r>
      <w:r>
        <w:rPr>
          <w:rFonts w:hint="eastAsia" w:ascii="仿宋" w:hAnsi="仿宋" w:eastAsia="仿宋" w:cs="仿宋"/>
          <w:b w:val="0"/>
          <w:bCs/>
          <w:i w:val="0"/>
          <w:caps w:val="0"/>
          <w:color w:val="3D3D3D"/>
          <w:spacing w:val="0"/>
          <w:sz w:val="32"/>
          <w:szCs w:val="32"/>
          <w:lang w:eastAsia="zh-CN"/>
        </w:rPr>
        <w:t>市政府下发《做好市场监管领域部门联合“双随机、一公开”监管工作的通知》，提出“建立健全随机抽查‘两库’、强化抽查检查结果公示运用”。随着机构改革的落地，年内</w:t>
      </w:r>
      <w:r>
        <w:rPr>
          <w:rFonts w:hint="eastAsia" w:ascii="仿宋" w:hAnsi="仿宋" w:eastAsia="仿宋" w:cs="仿宋"/>
          <w:b w:val="0"/>
          <w:bCs/>
          <w:i w:val="0"/>
          <w:caps w:val="0"/>
          <w:color w:val="3D3D3D"/>
          <w:spacing w:val="0"/>
          <w:sz w:val="32"/>
          <w:szCs w:val="32"/>
          <w:lang w:val="en-US" w:eastAsia="zh-CN"/>
        </w:rPr>
        <w:t>71.43%的市级部门和81.82%的区县政府调整公开了随机抽查事项清单，抽查结果能够及时公开，其中市市场监管局共公布抽检信息45次。</w:t>
      </w:r>
      <w:r>
        <w:rPr>
          <w:rFonts w:hint="eastAsia" w:ascii="楷体" w:hAnsi="楷体" w:eastAsia="楷体" w:cs="楷体"/>
          <w:b w:val="0"/>
          <w:bCs/>
          <w:i w:val="0"/>
          <w:caps w:val="0"/>
          <w:color w:val="3D3D3D"/>
          <w:spacing w:val="0"/>
          <w:sz w:val="32"/>
          <w:szCs w:val="32"/>
          <w:lang w:val="en-US" w:eastAsia="zh-CN"/>
        </w:rPr>
        <w:t>公共资源交易方面：</w:t>
      </w:r>
      <w:r>
        <w:rPr>
          <w:rFonts w:hint="eastAsia" w:ascii="仿宋" w:hAnsi="仿宋" w:eastAsia="仿宋" w:cs="仿宋"/>
          <w:b w:val="0"/>
          <w:bCs/>
          <w:i w:val="0"/>
          <w:caps w:val="0"/>
          <w:color w:val="3D3D3D"/>
          <w:spacing w:val="0"/>
          <w:sz w:val="32"/>
          <w:szCs w:val="32"/>
          <w:lang w:val="en-US" w:eastAsia="zh-CN"/>
        </w:rPr>
        <w:t>通过淄博市公共资源交易网统一发布公共资源交易信息，2019年发布交易公告、资格审查、成交信息、履约信息及相关变更信息共计1.38万条，累计完成交易6393个，</w:t>
      </w:r>
    </w:p>
    <w:p>
      <w:pPr>
        <w:rPr>
          <w:rFonts w:hint="eastAsia" w:ascii="仿宋" w:hAnsi="仿宋" w:eastAsia="仿宋" w:cs="仿宋"/>
          <w:b w:val="0"/>
          <w:bCs/>
          <w:i w:val="0"/>
          <w:caps w:val="0"/>
          <w:color w:val="3D3D3D"/>
          <w:spacing w:val="0"/>
          <w:sz w:val="32"/>
          <w:szCs w:val="32"/>
          <w:lang w:val="en-US" w:eastAsia="zh-CN"/>
        </w:rPr>
      </w:pPr>
      <w:r>
        <w:rPr>
          <w:rFonts w:hint="eastAsia" w:ascii="仿宋" w:hAnsi="仿宋" w:eastAsia="仿宋" w:cs="仿宋"/>
          <w:b w:val="0"/>
          <w:bCs/>
          <w:i w:val="0"/>
          <w:caps w:val="0"/>
          <w:color w:val="3D3D3D"/>
          <w:spacing w:val="0"/>
          <w:sz w:val="32"/>
          <w:szCs w:val="32"/>
          <w:lang w:val="en-US" w:eastAsia="zh-CN"/>
        </w:rPr>
        <w:br w:type="page"/>
      </w:r>
    </w:p>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仿宋" w:hAnsi="仿宋" w:eastAsia="仿宋" w:cs="仿宋"/>
          <w:b w:val="0"/>
          <w:bCs/>
          <w:i w:val="0"/>
          <w:caps w:val="0"/>
          <w:color w:val="3D3D3D"/>
          <w:spacing w:val="0"/>
          <w:sz w:val="32"/>
          <w:szCs w:val="32"/>
          <w:lang w:val="en-US" w:eastAsia="zh-CN"/>
        </w:rPr>
      </w:pPr>
      <w:r>
        <w:drawing>
          <wp:anchor distT="0" distB="0" distL="114300" distR="114300" simplePos="0" relativeHeight="252922880" behindDoc="1" locked="0" layoutInCell="1" allowOverlap="1">
            <wp:simplePos x="0" y="0"/>
            <wp:positionH relativeFrom="column">
              <wp:posOffset>3425190</wp:posOffset>
            </wp:positionH>
            <wp:positionV relativeFrom="paragraph">
              <wp:posOffset>3134995</wp:posOffset>
            </wp:positionV>
            <wp:extent cx="2515235" cy="1437640"/>
            <wp:effectExtent l="9525" t="9525" r="27940" b="19685"/>
            <wp:wrapTight wrapText="bothSides">
              <wp:wrapPolygon>
                <wp:start x="-82" y="-143"/>
                <wp:lineTo x="-82" y="21323"/>
                <wp:lineTo x="21513" y="21323"/>
                <wp:lineTo x="21513" y="-143"/>
                <wp:lineTo x="-82" y="-143"/>
              </wp:wrapPolygon>
            </wp:wrapTight>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4"/>
                    <a:stretch>
                      <a:fillRect/>
                    </a:stretch>
                  </pic:blipFill>
                  <pic:spPr>
                    <a:xfrm>
                      <a:off x="0" y="0"/>
                      <a:ext cx="2515235" cy="1437640"/>
                    </a:xfrm>
                    <a:prstGeom prst="rect">
                      <a:avLst/>
                    </a:prstGeom>
                    <a:noFill/>
                    <a:ln>
                      <a:solidFill>
                        <a:srgbClr val="0000FF"/>
                      </a:solidFill>
                    </a:ln>
                  </pic:spPr>
                </pic:pic>
              </a:graphicData>
            </a:graphic>
          </wp:anchor>
        </w:drawing>
      </w:r>
      <w:r>
        <w:drawing>
          <wp:anchor distT="0" distB="0" distL="114300" distR="114300" simplePos="0" relativeHeight="270426112" behindDoc="1" locked="0" layoutInCell="1" allowOverlap="1">
            <wp:simplePos x="0" y="0"/>
            <wp:positionH relativeFrom="column">
              <wp:posOffset>-31750</wp:posOffset>
            </wp:positionH>
            <wp:positionV relativeFrom="paragraph">
              <wp:posOffset>415925</wp:posOffset>
            </wp:positionV>
            <wp:extent cx="3409950" cy="1227455"/>
            <wp:effectExtent l="9525" t="9525" r="66675" b="39370"/>
            <wp:wrapTight wrapText="bothSides">
              <wp:wrapPolygon>
                <wp:start x="-60" y="-168"/>
                <wp:lineTo x="-60" y="21287"/>
                <wp:lineTo x="21540" y="21287"/>
                <wp:lineTo x="21540" y="-168"/>
                <wp:lineTo x="-60" y="-168"/>
              </wp:wrapPolygon>
            </wp:wrapTight>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35"/>
                    <a:stretch>
                      <a:fillRect/>
                    </a:stretch>
                  </pic:blipFill>
                  <pic:spPr>
                    <a:xfrm>
                      <a:off x="0" y="0"/>
                      <a:ext cx="3409950" cy="1227455"/>
                    </a:xfrm>
                    <a:prstGeom prst="rect">
                      <a:avLst/>
                    </a:prstGeom>
                    <a:noFill/>
                    <a:ln>
                      <a:solidFill>
                        <a:srgbClr val="0000FF"/>
                      </a:solidFill>
                    </a:ln>
                  </pic:spPr>
                </pic:pic>
              </a:graphicData>
            </a:graphic>
          </wp:anchor>
        </w:drawing>
      </w:r>
      <w:r>
        <w:rPr>
          <w:rFonts w:hint="eastAsia" w:ascii="仿宋" w:hAnsi="仿宋" w:eastAsia="仿宋" w:cs="仿宋"/>
          <w:b w:val="0"/>
          <w:bCs/>
          <w:i w:val="0"/>
          <w:caps w:val="0"/>
          <w:color w:val="3D3D3D"/>
          <w:spacing w:val="0"/>
          <w:sz w:val="32"/>
          <w:szCs w:val="32"/>
          <w:lang w:val="en-US" w:eastAsia="zh-CN"/>
        </w:rPr>
        <w:t>交易额666.995亿元。</w:t>
      </w:r>
      <w:r>
        <w:rPr>
          <w:rFonts w:hint="eastAsia" w:ascii="楷体" w:hAnsi="楷体" w:eastAsia="楷体" w:cs="楷体"/>
          <w:b w:val="0"/>
          <w:bCs/>
          <w:i w:val="0"/>
          <w:caps w:val="0"/>
          <w:color w:val="3D3D3D"/>
          <w:spacing w:val="0"/>
          <w:sz w:val="32"/>
          <w:szCs w:val="32"/>
          <w:lang w:val="en-US" w:eastAsia="zh-CN"/>
        </w:rPr>
        <w:t>信用公示方面：</w:t>
      </w:r>
      <w:r>
        <w:rPr>
          <w:rFonts w:hint="eastAsia" w:ascii="仿宋" w:hAnsi="仿宋" w:eastAsia="仿宋" w:cs="仿宋"/>
          <w:b w:val="0"/>
          <w:bCs/>
          <w:i w:val="0"/>
          <w:caps w:val="0"/>
          <w:color w:val="3D3D3D"/>
          <w:spacing w:val="0"/>
          <w:sz w:val="32"/>
          <w:szCs w:val="32"/>
          <w:lang w:val="en-US" w:eastAsia="zh-CN"/>
        </w:rPr>
        <w:t>通过“信用淄博”网站（http://credit.zibo.gov.cn）统一公示各类信用信用，2019年共公示行政许可、行政处罚信息65万余条、信用承诺信息1.1万条、红黑名单信息5万余条、告知承诺事项信息500余条。</w:t>
      </w:r>
      <w:r>
        <w:rPr>
          <w:rFonts w:hint="eastAsia" w:ascii="楷体" w:hAnsi="楷体" w:eastAsia="楷体" w:cs="楷体"/>
          <w:b w:val="0"/>
          <w:bCs/>
          <w:i w:val="0"/>
          <w:caps w:val="0"/>
          <w:color w:val="3D3D3D"/>
          <w:spacing w:val="0"/>
          <w:sz w:val="32"/>
          <w:szCs w:val="32"/>
          <w:lang w:val="en-US" w:eastAsia="zh-CN"/>
        </w:rPr>
        <w:t>住房公积金管理方面：</w:t>
      </w:r>
      <w:r>
        <w:rPr>
          <w:rFonts w:hint="eastAsia" w:ascii="仿宋" w:hAnsi="仿宋" w:eastAsia="仿宋" w:cs="仿宋"/>
          <w:b w:val="0"/>
          <w:bCs/>
          <w:i w:val="0"/>
          <w:caps w:val="0"/>
          <w:color w:val="3D3D3D"/>
          <w:spacing w:val="0"/>
          <w:sz w:val="32"/>
          <w:szCs w:val="32"/>
          <w:lang w:val="en-US" w:eastAsia="zh-CN"/>
        </w:rPr>
        <w:t>市政府网站和市住房公积金管理中心网站设置专门栏目，按季度公开住房公积金缴存、公积金提取、公积金个贷发放、公积金增值收益、公积金贷款风险等信息，并按时发布《淄博市住房公积金年度报告》及解读材料。</w:t>
      </w:r>
      <w:r>
        <w:rPr>
          <w:rFonts w:hint="eastAsia" w:ascii="楷体" w:hAnsi="楷体" w:eastAsia="楷体" w:cs="楷体"/>
          <w:b w:val="0"/>
          <w:bCs/>
          <w:i w:val="0"/>
          <w:caps w:val="0"/>
          <w:color w:val="3D3D3D"/>
          <w:spacing w:val="0"/>
          <w:sz w:val="32"/>
          <w:szCs w:val="32"/>
          <w:lang w:val="en-US" w:eastAsia="zh-CN"/>
        </w:rPr>
        <w:t>审计信息方面：</w:t>
      </w:r>
      <w:r>
        <w:rPr>
          <w:rFonts w:hint="eastAsia" w:ascii="仿宋" w:hAnsi="仿宋" w:eastAsia="仿宋" w:cs="仿宋"/>
          <w:b w:val="0"/>
          <w:bCs/>
          <w:i w:val="0"/>
          <w:caps w:val="0"/>
          <w:color w:val="3D3D3D"/>
          <w:spacing w:val="0"/>
          <w:sz w:val="32"/>
          <w:szCs w:val="32"/>
          <w:lang w:val="en-US" w:eastAsia="zh-CN"/>
        </w:rPr>
        <w:t>市政府以淄政字〔2019〕62号文件公布了《2018年度市级预算执行和其他财政收支审计结果报告》。</w:t>
      </w:r>
    </w:p>
    <w:p>
      <w:pPr>
        <w:ind w:firstLine="640" w:firstLineChars="200"/>
        <w:jc w:val="left"/>
        <w:rPr>
          <w:rFonts w:hint="eastAsia" w:ascii="仿宋" w:hAnsi="仿宋" w:eastAsia="仿宋" w:cs="仿宋"/>
          <w:b w:val="0"/>
          <w:bCs/>
          <w:i w:val="0"/>
          <w:caps w:val="0"/>
          <w:color w:val="3D3D3D"/>
          <w:spacing w:val="0"/>
          <w:sz w:val="32"/>
          <w:szCs w:val="32"/>
          <w:lang w:eastAsia="zh-CN"/>
        </w:rPr>
      </w:pPr>
      <w:r>
        <w:rPr>
          <w:rFonts w:hint="eastAsia" w:ascii="楷体" w:hAnsi="楷体" w:eastAsia="楷体" w:cs="楷体"/>
          <w:sz w:val="32"/>
          <w:szCs w:val="32"/>
        </w:rPr>
        <w:t>四是围绕社会公益事业建设做好信息公开。</w:t>
      </w:r>
      <w:r>
        <w:rPr>
          <w:rFonts w:hint="eastAsia" w:ascii="楷体" w:hAnsi="楷体" w:eastAsia="楷体" w:cs="楷体"/>
          <w:sz w:val="32"/>
          <w:szCs w:val="32"/>
          <w:lang w:eastAsia="zh-CN"/>
        </w:rPr>
        <w:t>政策措施方面：</w:t>
      </w:r>
      <w:r>
        <w:rPr>
          <w:rFonts w:hint="eastAsia" w:ascii="仿宋" w:hAnsi="仿宋" w:eastAsia="仿宋" w:cs="仿宋"/>
          <w:b w:val="0"/>
          <w:bCs/>
          <w:i w:val="0"/>
          <w:caps w:val="0"/>
          <w:color w:val="3D3D3D"/>
          <w:spacing w:val="0"/>
          <w:sz w:val="32"/>
          <w:szCs w:val="32"/>
          <w:lang w:eastAsia="zh-CN"/>
        </w:rPr>
        <w:t>及时公开了</w:t>
      </w:r>
      <w:r>
        <w:rPr>
          <w:rFonts w:hint="eastAsia" w:ascii="仿宋" w:hAnsi="仿宋" w:eastAsia="仿宋" w:cs="仿宋"/>
          <w:b w:val="0"/>
          <w:bCs/>
          <w:i w:val="0"/>
          <w:caps w:val="0"/>
          <w:color w:val="3D3D3D"/>
          <w:spacing w:val="0"/>
          <w:sz w:val="32"/>
          <w:szCs w:val="32"/>
        </w:rPr>
        <w:t>淄博市机关事业单位工作人员养老保险制度改革实施办法</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加快培育和发展住房租赁市场的实施意见</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全面推进生育保险和职工基本医疗保险合并实施方案</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推进医疗保障市级统筹</w:t>
      </w:r>
      <w:r>
        <w:rPr>
          <w:rFonts w:hint="eastAsia" w:ascii="仿宋" w:hAnsi="仿宋" w:eastAsia="仿宋" w:cs="仿宋"/>
          <w:b w:val="0"/>
          <w:bCs/>
          <w:i w:val="0"/>
          <w:caps w:val="0"/>
          <w:color w:val="3D3D3D"/>
          <w:spacing w:val="0"/>
          <w:sz w:val="32"/>
          <w:szCs w:val="32"/>
          <w:lang w:eastAsia="zh-CN"/>
        </w:rPr>
        <w:t>工作方案、</w:t>
      </w:r>
      <w:r>
        <w:rPr>
          <w:rFonts w:hint="eastAsia" w:ascii="仿宋" w:hAnsi="仿宋" w:eastAsia="仿宋" w:cs="仿宋"/>
          <w:b w:val="0"/>
          <w:bCs/>
          <w:i w:val="0"/>
          <w:caps w:val="0"/>
          <w:color w:val="3D3D3D"/>
          <w:spacing w:val="0"/>
          <w:sz w:val="32"/>
          <w:szCs w:val="32"/>
        </w:rPr>
        <w:t>淄博市医养健康产业发展规划（2018-2022年）</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城乡居民最低生活保障和城乡特困供养标准</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住房保障相关标准</w:t>
      </w:r>
      <w:r>
        <w:rPr>
          <w:rFonts w:hint="eastAsia" w:ascii="仿宋" w:hAnsi="仿宋" w:eastAsia="仿宋" w:cs="仿宋"/>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rPr>
        <w:t>国有土地上房屋征收相关补偿补助标准</w:t>
      </w:r>
      <w:r>
        <w:rPr>
          <w:rFonts w:hint="eastAsia" w:ascii="仿宋" w:hAnsi="仿宋" w:eastAsia="仿宋" w:cs="仿宋"/>
          <w:b w:val="0"/>
          <w:bCs/>
          <w:i w:val="0"/>
          <w:caps w:val="0"/>
          <w:color w:val="3D3D3D"/>
          <w:spacing w:val="0"/>
          <w:sz w:val="32"/>
          <w:szCs w:val="32"/>
          <w:lang w:eastAsia="zh-CN"/>
        </w:rPr>
        <w:t>等一批社会公益事业领域的政策、规划、措施和标准。</w:t>
      </w:r>
      <w:r>
        <w:rPr>
          <w:rFonts w:hint="eastAsia" w:ascii="楷体" w:hAnsi="楷体" w:eastAsia="楷体" w:cs="楷体"/>
          <w:sz w:val="32"/>
          <w:szCs w:val="32"/>
          <w:lang w:eastAsia="zh-CN"/>
        </w:rPr>
        <w:t>社会救助方面：</w:t>
      </w:r>
      <w:r>
        <w:rPr>
          <w:rFonts w:hint="eastAsia" w:ascii="仿宋" w:hAnsi="仿宋" w:eastAsia="仿宋" w:cs="仿宋"/>
          <w:b w:val="0"/>
          <w:bCs/>
          <w:i w:val="0"/>
          <w:caps w:val="0"/>
          <w:color w:val="3D3D3D"/>
          <w:spacing w:val="0"/>
          <w:sz w:val="32"/>
          <w:szCs w:val="32"/>
          <w:lang w:eastAsia="zh-CN"/>
        </w:rPr>
        <w:t>市民政局、市医疗保障局和各区县政府均通过政府网站专门栏目及时公开了社会救助相关的救助对象认定、</w:t>
      </w:r>
    </w:p>
    <w:p>
      <w:pPr>
        <w:rPr>
          <w:rFonts w:hint="eastAsia" w:ascii="仿宋" w:hAnsi="仿宋" w:eastAsia="仿宋" w:cs="仿宋"/>
          <w:b w:val="0"/>
          <w:bCs/>
          <w:i w:val="0"/>
          <w:caps w:val="0"/>
          <w:color w:val="3D3D3D"/>
          <w:spacing w:val="0"/>
          <w:sz w:val="32"/>
          <w:szCs w:val="32"/>
          <w:lang w:eastAsia="zh-CN"/>
        </w:rPr>
      </w:pPr>
      <w:r>
        <w:rPr>
          <w:rFonts w:hint="eastAsia" w:ascii="仿宋" w:hAnsi="仿宋" w:eastAsia="仿宋" w:cs="仿宋"/>
          <w:b w:val="0"/>
          <w:bCs/>
          <w:i w:val="0"/>
          <w:caps w:val="0"/>
          <w:color w:val="3D3D3D"/>
          <w:spacing w:val="0"/>
          <w:sz w:val="32"/>
          <w:szCs w:val="32"/>
          <w:lang w:eastAsia="zh-CN"/>
        </w:rPr>
        <w:br w:type="page"/>
      </w:r>
    </w:p>
    <w:p>
      <w:pPr>
        <w:jc w:val="left"/>
        <w:rPr>
          <w:rFonts w:hint="eastAsia" w:ascii="仿宋" w:hAnsi="仿宋" w:eastAsia="仿宋" w:cs="仿宋"/>
          <w:b w:val="0"/>
          <w:bCs/>
          <w:i w:val="0"/>
          <w:caps w:val="0"/>
          <w:color w:val="3D3D3D"/>
          <w:spacing w:val="0"/>
          <w:sz w:val="32"/>
          <w:szCs w:val="32"/>
          <w:lang w:val="en-US" w:eastAsia="zh-CN"/>
        </w:rPr>
      </w:pPr>
      <w:r>
        <w:drawing>
          <wp:anchor distT="0" distB="0" distL="114300" distR="114300" simplePos="0" relativeHeight="252924928" behindDoc="1" locked="0" layoutInCell="1" allowOverlap="1">
            <wp:simplePos x="0" y="0"/>
            <wp:positionH relativeFrom="column">
              <wp:posOffset>708660</wp:posOffset>
            </wp:positionH>
            <wp:positionV relativeFrom="paragraph">
              <wp:posOffset>4359275</wp:posOffset>
            </wp:positionV>
            <wp:extent cx="5173980" cy="3256915"/>
            <wp:effectExtent l="9525" t="9525" r="17145" b="10160"/>
            <wp:wrapTight wrapText="bothSides">
              <wp:wrapPolygon>
                <wp:start x="-40" y="-63"/>
                <wp:lineTo x="-40" y="21541"/>
                <wp:lineTo x="21592" y="21541"/>
                <wp:lineTo x="21592" y="-63"/>
                <wp:lineTo x="-40" y="-63"/>
              </wp:wrapPolygon>
            </wp:wrapTight>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36"/>
                    <a:stretch>
                      <a:fillRect/>
                    </a:stretch>
                  </pic:blipFill>
                  <pic:spPr>
                    <a:xfrm>
                      <a:off x="0" y="0"/>
                      <a:ext cx="5173980" cy="3256915"/>
                    </a:xfrm>
                    <a:prstGeom prst="rect">
                      <a:avLst/>
                    </a:prstGeom>
                    <a:noFill/>
                    <a:ln>
                      <a:solidFill>
                        <a:srgbClr val="0000FF"/>
                      </a:solidFill>
                    </a:ln>
                  </pic:spPr>
                </pic:pic>
              </a:graphicData>
            </a:graphic>
          </wp:anchor>
        </w:drawing>
      </w:r>
      <w:r>
        <w:drawing>
          <wp:anchor distT="0" distB="0" distL="114300" distR="114300" simplePos="0" relativeHeight="252923904" behindDoc="1" locked="0" layoutInCell="1" allowOverlap="1">
            <wp:simplePos x="0" y="0"/>
            <wp:positionH relativeFrom="column">
              <wp:posOffset>-59690</wp:posOffset>
            </wp:positionH>
            <wp:positionV relativeFrom="paragraph">
              <wp:posOffset>420370</wp:posOffset>
            </wp:positionV>
            <wp:extent cx="4175125" cy="2604770"/>
            <wp:effectExtent l="9525" t="9525" r="25400" b="14605"/>
            <wp:wrapTight wrapText="bothSides">
              <wp:wrapPolygon>
                <wp:start x="-49" y="-79"/>
                <wp:lineTo x="-49" y="21563"/>
                <wp:lineTo x="21534" y="21563"/>
                <wp:lineTo x="21534" y="-79"/>
                <wp:lineTo x="-49" y="-79"/>
              </wp:wrapPolygon>
            </wp:wrapTight>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37"/>
                    <a:stretch>
                      <a:fillRect/>
                    </a:stretch>
                  </pic:blipFill>
                  <pic:spPr>
                    <a:xfrm>
                      <a:off x="0" y="0"/>
                      <a:ext cx="4175125" cy="2604770"/>
                    </a:xfrm>
                    <a:prstGeom prst="rect">
                      <a:avLst/>
                    </a:prstGeom>
                    <a:noFill/>
                    <a:ln>
                      <a:solidFill>
                        <a:srgbClr val="0000FF"/>
                      </a:solidFill>
                    </a:ln>
                  </pic:spPr>
                </pic:pic>
              </a:graphicData>
            </a:graphic>
          </wp:anchor>
        </w:drawing>
      </w:r>
      <w:r>
        <w:rPr>
          <w:rFonts w:hint="eastAsia" w:ascii="仿宋" w:hAnsi="仿宋" w:eastAsia="仿宋" w:cs="仿宋"/>
          <w:b w:val="0"/>
          <w:bCs/>
          <w:i w:val="0"/>
          <w:caps w:val="0"/>
          <w:color w:val="3D3D3D"/>
          <w:spacing w:val="0"/>
          <w:sz w:val="32"/>
          <w:szCs w:val="32"/>
          <w:lang w:eastAsia="zh-CN"/>
        </w:rPr>
        <w:t>救助标准、申报指南等政策信息及救助人次数、资金支出情况等数据。</w:t>
      </w:r>
      <w:r>
        <w:rPr>
          <w:rFonts w:hint="eastAsia" w:ascii="楷体" w:hAnsi="楷体" w:eastAsia="楷体" w:cs="楷体"/>
          <w:sz w:val="32"/>
          <w:szCs w:val="32"/>
          <w:lang w:eastAsia="zh-CN"/>
        </w:rPr>
        <w:t>社会福利方面：</w:t>
      </w:r>
      <w:r>
        <w:rPr>
          <w:rFonts w:hint="eastAsia" w:ascii="仿宋" w:hAnsi="仿宋" w:eastAsia="仿宋" w:cs="仿宋"/>
          <w:b w:val="0"/>
          <w:bCs/>
          <w:i w:val="0"/>
          <w:caps w:val="0"/>
          <w:color w:val="3D3D3D"/>
          <w:spacing w:val="0"/>
          <w:sz w:val="32"/>
          <w:szCs w:val="32"/>
          <w:lang w:eastAsia="zh-CN"/>
        </w:rPr>
        <w:t>市民政局和区县政府均公开了福利补贴对象认定、申领、标准及审批程序等信息，同时及时公开救助款物的管理使用、福利补贴发放等情况。</w:t>
      </w:r>
      <w:r>
        <w:rPr>
          <w:rFonts w:hint="eastAsia" w:ascii="楷体" w:hAnsi="楷体" w:eastAsia="楷体" w:cs="楷体"/>
          <w:sz w:val="32"/>
          <w:szCs w:val="32"/>
          <w:lang w:eastAsia="zh-CN"/>
        </w:rPr>
        <w:t>社会保障方面：</w:t>
      </w:r>
      <w:r>
        <w:rPr>
          <w:rFonts w:hint="eastAsia" w:ascii="仿宋" w:hAnsi="仿宋" w:eastAsia="仿宋" w:cs="仿宋"/>
          <w:b w:val="0"/>
          <w:bCs/>
          <w:i w:val="0"/>
          <w:caps w:val="0"/>
          <w:color w:val="3D3D3D"/>
          <w:spacing w:val="0"/>
          <w:sz w:val="32"/>
          <w:szCs w:val="32"/>
          <w:lang w:eastAsia="zh-CN"/>
        </w:rPr>
        <w:t>市人力资源和社会保障局、市医疗保障局和区县政府均及时公开了社会保险相关政策措施，定期公开参保人数、待遇支付、基金收支情况，并及时发布定点医院、药店及药品、诊疗项目目录。</w:t>
      </w:r>
      <w:r>
        <w:rPr>
          <w:rFonts w:hint="eastAsia" w:ascii="楷体" w:hAnsi="楷体" w:eastAsia="楷体" w:cs="楷体"/>
          <w:sz w:val="32"/>
          <w:szCs w:val="32"/>
          <w:lang w:eastAsia="zh-CN"/>
        </w:rPr>
        <w:t>就业创业方面</w:t>
      </w:r>
      <w:r>
        <w:rPr>
          <w:rFonts w:hint="eastAsia" w:ascii="楷体" w:hAnsi="楷体" w:eastAsia="楷体" w:cs="楷体"/>
          <w:b w:val="0"/>
          <w:bCs/>
          <w:i w:val="0"/>
          <w:caps w:val="0"/>
          <w:color w:val="3D3D3D"/>
          <w:spacing w:val="0"/>
          <w:sz w:val="32"/>
          <w:szCs w:val="32"/>
          <w:lang w:eastAsia="zh-CN"/>
        </w:rPr>
        <w:t>：</w:t>
      </w:r>
      <w:r>
        <w:rPr>
          <w:rFonts w:hint="eastAsia" w:ascii="仿宋" w:hAnsi="仿宋" w:eastAsia="仿宋" w:cs="仿宋"/>
          <w:b w:val="0"/>
          <w:bCs/>
          <w:i w:val="0"/>
          <w:caps w:val="0"/>
          <w:color w:val="3D3D3D"/>
          <w:spacing w:val="0"/>
          <w:sz w:val="32"/>
          <w:szCs w:val="32"/>
          <w:lang w:eastAsia="zh-CN"/>
        </w:rPr>
        <w:t>市人力资源和社会保障局、市就业服务中心通过各种渠道公开就业创业、人才队伍、人事制度、收入分配、劳动关系等各类信息</w:t>
      </w:r>
      <w:r>
        <w:rPr>
          <w:rFonts w:hint="eastAsia" w:ascii="仿宋" w:hAnsi="仿宋" w:eastAsia="仿宋" w:cs="仿宋"/>
          <w:b w:val="0"/>
          <w:bCs/>
          <w:i w:val="0"/>
          <w:caps w:val="0"/>
          <w:color w:val="3D3D3D"/>
          <w:spacing w:val="0"/>
          <w:sz w:val="32"/>
          <w:szCs w:val="32"/>
          <w:lang w:val="en-US" w:eastAsia="zh-CN"/>
        </w:rPr>
        <w:t>2185</w:t>
      </w:r>
    </w:p>
    <w:p>
      <w:pPr>
        <w:rPr>
          <w:rFonts w:hint="eastAsia" w:ascii="仿宋" w:hAnsi="仿宋" w:eastAsia="仿宋" w:cs="仿宋"/>
          <w:b w:val="0"/>
          <w:bCs/>
          <w:i w:val="0"/>
          <w:caps w:val="0"/>
          <w:color w:val="3D3D3D"/>
          <w:spacing w:val="0"/>
          <w:sz w:val="32"/>
          <w:szCs w:val="32"/>
          <w:lang w:val="en-US" w:eastAsia="zh-CN"/>
        </w:rPr>
      </w:pPr>
      <w:r>
        <w:rPr>
          <w:rFonts w:hint="eastAsia" w:ascii="仿宋" w:hAnsi="仿宋" w:eastAsia="仿宋" w:cs="仿宋"/>
          <w:b w:val="0"/>
          <w:bCs/>
          <w:i w:val="0"/>
          <w:caps w:val="0"/>
          <w:color w:val="3D3D3D"/>
          <w:spacing w:val="0"/>
          <w:sz w:val="32"/>
          <w:szCs w:val="32"/>
          <w:lang w:val="en-US" w:eastAsia="zh-CN"/>
        </w:rPr>
        <w:br w:type="page"/>
      </w:r>
    </w:p>
    <w:p>
      <w:pPr>
        <w:jc w:val="left"/>
        <w:rPr>
          <w:rFonts w:hint="eastAsia" w:ascii="仿宋" w:hAnsi="仿宋" w:eastAsia="仿宋" w:cs="仿宋"/>
          <w:b w:val="0"/>
          <w:bCs/>
          <w:i w:val="0"/>
          <w:caps w:val="0"/>
          <w:color w:val="3D3D3D"/>
          <w:spacing w:val="0"/>
          <w:sz w:val="32"/>
          <w:szCs w:val="32"/>
          <w:lang w:val="en-US" w:eastAsia="zh-CN"/>
        </w:rPr>
      </w:pPr>
      <w:r>
        <w:drawing>
          <wp:anchor distT="0" distB="0" distL="114300" distR="114300" simplePos="0" relativeHeight="270428160" behindDoc="1" locked="0" layoutInCell="1" allowOverlap="1">
            <wp:simplePos x="0" y="0"/>
            <wp:positionH relativeFrom="column">
              <wp:posOffset>-105410</wp:posOffset>
            </wp:positionH>
            <wp:positionV relativeFrom="paragraph">
              <wp:posOffset>5149215</wp:posOffset>
            </wp:positionV>
            <wp:extent cx="5029835" cy="2179320"/>
            <wp:effectExtent l="9525" t="9525" r="0" b="0"/>
            <wp:wrapTight wrapText="bothSides">
              <wp:wrapPolygon>
                <wp:start x="-41" y="-94"/>
                <wp:lineTo x="-41" y="21430"/>
                <wp:lineTo x="21556" y="21430"/>
                <wp:lineTo x="21556" y="-94"/>
                <wp:lineTo x="-41" y="-94"/>
              </wp:wrapPolygon>
            </wp:wrapTight>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38"/>
                    <a:stretch>
                      <a:fillRect/>
                    </a:stretch>
                  </pic:blipFill>
                  <pic:spPr>
                    <a:xfrm>
                      <a:off x="0" y="0"/>
                      <a:ext cx="5029835" cy="2179320"/>
                    </a:xfrm>
                    <a:prstGeom prst="rect">
                      <a:avLst/>
                    </a:prstGeom>
                    <a:noFill/>
                    <a:ln>
                      <a:solidFill>
                        <a:srgbClr val="0000FF"/>
                      </a:solidFill>
                    </a:ln>
                  </pic:spPr>
                </pic:pic>
              </a:graphicData>
            </a:graphic>
          </wp:anchor>
        </w:drawing>
      </w:r>
      <w:r>
        <w:drawing>
          <wp:anchor distT="0" distB="0" distL="114300" distR="114300" simplePos="0" relativeHeight="252925952" behindDoc="1" locked="0" layoutInCell="1" allowOverlap="1">
            <wp:simplePos x="0" y="0"/>
            <wp:positionH relativeFrom="column">
              <wp:posOffset>1990725</wp:posOffset>
            </wp:positionH>
            <wp:positionV relativeFrom="paragraph">
              <wp:posOffset>481965</wp:posOffset>
            </wp:positionV>
            <wp:extent cx="3893185" cy="2510790"/>
            <wp:effectExtent l="9525" t="9525" r="21590" b="13335"/>
            <wp:wrapTight wrapText="bothSides">
              <wp:wrapPolygon>
                <wp:start x="-53" y="-82"/>
                <wp:lineTo x="-53" y="21551"/>
                <wp:lineTo x="21508" y="21551"/>
                <wp:lineTo x="21508" y="-82"/>
                <wp:lineTo x="-53" y="-82"/>
              </wp:wrapPolygon>
            </wp:wrapTight>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9"/>
                    <a:stretch>
                      <a:fillRect/>
                    </a:stretch>
                  </pic:blipFill>
                  <pic:spPr>
                    <a:xfrm>
                      <a:off x="0" y="0"/>
                      <a:ext cx="3893185" cy="2510790"/>
                    </a:xfrm>
                    <a:prstGeom prst="rect">
                      <a:avLst/>
                    </a:prstGeom>
                    <a:noFill/>
                    <a:ln>
                      <a:solidFill>
                        <a:srgbClr val="0000FF"/>
                      </a:solidFill>
                    </a:ln>
                  </pic:spPr>
                </pic:pic>
              </a:graphicData>
            </a:graphic>
          </wp:anchor>
        </w:drawing>
      </w:r>
      <w:r>
        <w:rPr>
          <w:rFonts w:hint="eastAsia" w:ascii="仿宋" w:hAnsi="仿宋" w:eastAsia="仿宋" w:cs="仿宋"/>
          <w:b w:val="0"/>
          <w:bCs/>
          <w:i w:val="0"/>
          <w:caps w:val="0"/>
          <w:color w:val="3D3D3D"/>
          <w:spacing w:val="0"/>
          <w:sz w:val="32"/>
          <w:szCs w:val="32"/>
          <w:lang w:val="en-US" w:eastAsia="zh-CN"/>
        </w:rPr>
        <w:t>条；针对不同人群制作了6种《就业创业服务政策卡》，详细展示政策名称、享受条件、服务指南等信息，服务政策卡专门设置二维码，群众、企业通过描码就可方便获取政策原文。</w:t>
      </w:r>
      <w:r>
        <w:rPr>
          <w:rFonts w:hint="eastAsia" w:ascii="楷体" w:hAnsi="楷体" w:eastAsia="楷体" w:cs="楷体"/>
          <w:b w:val="0"/>
          <w:bCs/>
          <w:i w:val="0"/>
          <w:caps w:val="0"/>
          <w:color w:val="3D3D3D"/>
          <w:spacing w:val="0"/>
          <w:sz w:val="32"/>
          <w:szCs w:val="32"/>
          <w:lang w:val="en-US" w:eastAsia="zh-CN"/>
        </w:rPr>
        <w:t>教育方面：</w:t>
      </w:r>
      <w:r>
        <w:rPr>
          <w:rFonts w:hint="eastAsia" w:ascii="仿宋" w:hAnsi="仿宋" w:eastAsia="仿宋" w:cs="仿宋"/>
          <w:b w:val="0"/>
          <w:bCs/>
          <w:i w:val="0"/>
          <w:caps w:val="0"/>
          <w:color w:val="3D3D3D"/>
          <w:spacing w:val="0"/>
          <w:sz w:val="32"/>
          <w:szCs w:val="32"/>
          <w:lang w:val="en-US" w:eastAsia="zh-CN"/>
        </w:rPr>
        <w:t>市教育局汇总公开了高中教育、职业教育、民办教育相关政策文件及各类学校名录；各区县政府公布了本行政区域幼儿园布局建设规划、公办幼儿园和普惠性民办幼儿园名录、幼儿园办园评估结果、义务教育学校名录及义务教育招生全过程信息。</w:t>
      </w:r>
      <w:r>
        <w:rPr>
          <w:rFonts w:hint="eastAsia" w:ascii="楷体" w:hAnsi="楷体" w:eastAsia="楷体" w:cs="楷体"/>
          <w:b w:val="0"/>
          <w:bCs/>
          <w:i w:val="0"/>
          <w:caps w:val="0"/>
          <w:color w:val="3D3D3D"/>
          <w:spacing w:val="0"/>
          <w:sz w:val="32"/>
          <w:szCs w:val="32"/>
          <w:lang w:val="en-US" w:eastAsia="zh-CN"/>
        </w:rPr>
        <w:t>医疗健康方面：</w:t>
      </w:r>
      <w:r>
        <w:rPr>
          <w:rFonts w:hint="eastAsia" w:ascii="仿宋" w:hAnsi="仿宋" w:eastAsia="仿宋" w:cs="仿宋"/>
          <w:b w:val="0"/>
          <w:bCs/>
          <w:i w:val="0"/>
          <w:caps w:val="0"/>
          <w:color w:val="3D3D3D"/>
          <w:spacing w:val="0"/>
          <w:sz w:val="32"/>
          <w:szCs w:val="32"/>
          <w:lang w:val="en-US" w:eastAsia="zh-CN"/>
        </w:rPr>
        <w:t>探索建立严重违规定点医药机构、医保医师和参保人员“黑名单”机制，主动曝光已查实的典型欺诈骗保案件信息。区县政府普遍按要求及时公开本行政区域内基本公共卫生服务项目承担机构名录和医疗资源配置情况。</w:t>
      </w:r>
      <w:r>
        <w:rPr>
          <w:rFonts w:hint="eastAsia" w:ascii="楷体" w:hAnsi="楷体" w:eastAsia="楷体" w:cs="楷体"/>
          <w:b w:val="0"/>
          <w:bCs/>
          <w:i w:val="0"/>
          <w:caps w:val="0"/>
          <w:color w:val="3D3D3D"/>
          <w:spacing w:val="0"/>
          <w:sz w:val="32"/>
          <w:szCs w:val="32"/>
          <w:lang w:val="en-US" w:eastAsia="zh-CN"/>
        </w:rPr>
        <w:t>公共文化体育方面：</w:t>
      </w:r>
      <w:r>
        <w:rPr>
          <w:rFonts w:hint="eastAsia" w:ascii="仿宋" w:hAnsi="仿宋" w:eastAsia="仿宋" w:cs="仿宋"/>
          <w:b w:val="0"/>
          <w:bCs/>
          <w:i w:val="0"/>
          <w:caps w:val="0"/>
          <w:color w:val="3D3D3D"/>
          <w:spacing w:val="0"/>
          <w:sz w:val="32"/>
          <w:szCs w:val="32"/>
          <w:lang w:val="en-US" w:eastAsia="zh-CN"/>
        </w:rPr>
        <w:t>市文化和旅游局、市体育局和区县政府普遍公开了公共文化体育服务政策、文化遗产保护名录、文化体育</w:t>
      </w:r>
    </w:p>
    <w:p>
      <w:pPr>
        <w:rPr>
          <w:rFonts w:hint="eastAsia" w:ascii="仿宋" w:hAnsi="仿宋" w:eastAsia="仿宋" w:cs="仿宋"/>
          <w:b w:val="0"/>
          <w:bCs/>
          <w:i w:val="0"/>
          <w:caps w:val="0"/>
          <w:color w:val="3D3D3D"/>
          <w:spacing w:val="0"/>
          <w:sz w:val="32"/>
          <w:szCs w:val="32"/>
          <w:lang w:val="en-US" w:eastAsia="zh-CN"/>
        </w:rPr>
      </w:pPr>
      <w:r>
        <w:rPr>
          <w:rFonts w:hint="eastAsia" w:ascii="仿宋" w:hAnsi="仿宋" w:eastAsia="仿宋" w:cs="仿宋"/>
          <w:b w:val="0"/>
          <w:bCs/>
          <w:i w:val="0"/>
          <w:caps w:val="0"/>
          <w:color w:val="3D3D3D"/>
          <w:spacing w:val="0"/>
          <w:sz w:val="32"/>
          <w:szCs w:val="32"/>
          <w:lang w:val="en-US" w:eastAsia="zh-CN"/>
        </w:rPr>
        <w:br w:type="page"/>
      </w:r>
    </w:p>
    <w:p>
      <w:pPr>
        <w:jc w:val="left"/>
        <w:rPr>
          <w:rFonts w:hint="default" w:ascii="仿宋" w:hAnsi="仿宋" w:eastAsia="仿宋" w:cs="仿宋"/>
          <w:b w:val="0"/>
          <w:bCs/>
          <w:i w:val="0"/>
          <w:caps w:val="0"/>
          <w:color w:val="3D3D3D"/>
          <w:spacing w:val="0"/>
          <w:sz w:val="32"/>
          <w:szCs w:val="32"/>
          <w:lang w:val="en-US" w:eastAsia="zh-CN"/>
        </w:rPr>
      </w:pPr>
      <w:r>
        <w:drawing>
          <wp:anchor distT="0" distB="0" distL="114300" distR="114300" simplePos="0" relativeHeight="252928000" behindDoc="1" locked="0" layoutInCell="1" allowOverlap="1">
            <wp:simplePos x="0" y="0"/>
            <wp:positionH relativeFrom="column">
              <wp:posOffset>-118745</wp:posOffset>
            </wp:positionH>
            <wp:positionV relativeFrom="paragraph">
              <wp:posOffset>473075</wp:posOffset>
            </wp:positionV>
            <wp:extent cx="3683635" cy="2320290"/>
            <wp:effectExtent l="9525" t="9525" r="21590" b="13335"/>
            <wp:wrapTight wrapText="bothSides">
              <wp:wrapPolygon>
                <wp:start x="-56" y="-89"/>
                <wp:lineTo x="-56" y="21547"/>
                <wp:lineTo x="21503" y="21547"/>
                <wp:lineTo x="21503" y="-89"/>
                <wp:lineTo x="-56" y="-89"/>
              </wp:wrapPolygon>
            </wp:wrapTight>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40"/>
                    <a:stretch>
                      <a:fillRect/>
                    </a:stretch>
                  </pic:blipFill>
                  <pic:spPr>
                    <a:xfrm>
                      <a:off x="0" y="0"/>
                      <a:ext cx="3683635" cy="2320290"/>
                    </a:xfrm>
                    <a:prstGeom prst="rect">
                      <a:avLst/>
                    </a:prstGeom>
                    <a:noFill/>
                    <a:ln>
                      <a:solidFill>
                        <a:srgbClr val="0000FF"/>
                      </a:solidFill>
                    </a:ln>
                  </pic:spPr>
                </pic:pic>
              </a:graphicData>
            </a:graphic>
          </wp:anchor>
        </w:drawing>
      </w:r>
      <w:r>
        <w:rPr>
          <w:rFonts w:hint="eastAsia" w:ascii="仿宋" w:hAnsi="仿宋" w:eastAsia="仿宋" w:cs="仿宋"/>
          <w:b w:val="0"/>
          <w:bCs/>
          <w:i w:val="0"/>
          <w:caps w:val="0"/>
          <w:color w:val="3D3D3D"/>
          <w:spacing w:val="0"/>
          <w:sz w:val="32"/>
          <w:szCs w:val="32"/>
          <w:lang w:val="en-US" w:eastAsia="zh-CN"/>
        </w:rPr>
        <w:t>场馆和相关活动信息。</w:t>
      </w:r>
      <w:r>
        <w:rPr>
          <w:rFonts w:hint="eastAsia" w:ascii="楷体" w:hAnsi="楷体" w:eastAsia="楷体" w:cs="楷体"/>
          <w:b w:val="0"/>
          <w:bCs/>
          <w:i w:val="0"/>
          <w:caps w:val="0"/>
          <w:color w:val="3D3D3D"/>
          <w:spacing w:val="0"/>
          <w:sz w:val="32"/>
          <w:szCs w:val="32"/>
          <w:lang w:val="en-US" w:eastAsia="zh-CN"/>
        </w:rPr>
        <w:t>社会组织管理方面：</w:t>
      </w:r>
      <w:r>
        <w:rPr>
          <w:rFonts w:hint="eastAsia" w:ascii="仿宋" w:hAnsi="仿宋" w:eastAsia="仿宋" w:cs="仿宋"/>
          <w:b w:val="0"/>
          <w:bCs/>
          <w:i w:val="0"/>
          <w:caps w:val="0"/>
          <w:color w:val="3D3D3D"/>
          <w:spacing w:val="0"/>
          <w:sz w:val="32"/>
          <w:szCs w:val="32"/>
          <w:lang w:val="en-US" w:eastAsia="zh-CN"/>
        </w:rPr>
        <w:t>市行政审批局集中公开了社会组织审批信息，市民民政局及时公开了社会组织名录信息及管理信息。</w:t>
      </w:r>
      <w:r>
        <w:rPr>
          <w:rFonts w:hint="eastAsia" w:ascii="楷体" w:hAnsi="楷体" w:eastAsia="楷体" w:cs="楷体"/>
          <w:b w:val="0"/>
          <w:bCs/>
          <w:i w:val="0"/>
          <w:caps w:val="0"/>
          <w:color w:val="3D3D3D"/>
          <w:spacing w:val="0"/>
          <w:sz w:val="32"/>
          <w:szCs w:val="32"/>
          <w:lang w:val="en-US" w:eastAsia="zh-CN"/>
        </w:rPr>
        <w:t>灾害事故救援方面：</w:t>
      </w:r>
      <w:r>
        <w:rPr>
          <w:rFonts w:hint="eastAsia" w:ascii="仿宋" w:hAnsi="仿宋" w:eastAsia="仿宋" w:cs="仿宋"/>
          <w:b w:val="0"/>
          <w:bCs/>
          <w:i w:val="0"/>
          <w:caps w:val="0"/>
          <w:color w:val="3D3D3D"/>
          <w:spacing w:val="0"/>
          <w:sz w:val="32"/>
          <w:szCs w:val="32"/>
          <w:lang w:val="en-US" w:eastAsia="zh-CN"/>
        </w:rPr>
        <w:t>市应急管理局和区县政府根据本辖区的实际情况发布自然灾害、重大事故救援等信息，“利奇马”台风灾害救援及灾后重建信息全面公开，社会公益事业公开透明度不断提升。</w:t>
      </w:r>
    </w:p>
    <w:p>
      <w:pPr>
        <w:ind w:firstLine="640" w:firstLineChars="200"/>
        <w:jc w:val="left"/>
        <w:rPr>
          <w:rFonts w:hint="eastAsia" w:ascii="仿宋" w:hAnsi="仿宋" w:eastAsia="仿宋" w:cs="仿宋"/>
          <w:b w:val="0"/>
          <w:bCs/>
          <w:i w:val="0"/>
          <w:caps w:val="0"/>
          <w:color w:val="3D3D3D"/>
          <w:spacing w:val="0"/>
          <w:sz w:val="32"/>
          <w:szCs w:val="32"/>
          <w:lang w:val="en-US" w:eastAsia="zh-CN"/>
        </w:rPr>
      </w:pPr>
      <w:r>
        <w:rPr>
          <w:rFonts w:hint="eastAsia" w:ascii="楷体" w:hAnsi="楷体" w:eastAsia="楷体" w:cs="楷体"/>
          <w:sz w:val="32"/>
          <w:szCs w:val="32"/>
        </w:rPr>
        <w:t>五是</w:t>
      </w:r>
      <w:r>
        <w:rPr>
          <w:rFonts w:hint="eastAsia" w:ascii="楷体" w:hAnsi="楷体" w:eastAsia="楷体" w:cs="楷体"/>
          <w:sz w:val="32"/>
          <w:szCs w:val="32"/>
          <w:lang w:eastAsia="zh-CN"/>
        </w:rPr>
        <w:t>做好</w:t>
      </w:r>
      <w:r>
        <w:rPr>
          <w:rFonts w:hint="eastAsia" w:ascii="楷体" w:hAnsi="楷体" w:eastAsia="楷体" w:cs="楷体"/>
          <w:sz w:val="32"/>
          <w:szCs w:val="32"/>
        </w:rPr>
        <w:t>建议提案办理</w:t>
      </w:r>
      <w:r>
        <w:rPr>
          <w:rFonts w:hint="eastAsia" w:ascii="楷体" w:hAnsi="楷体" w:eastAsia="楷体" w:cs="楷体"/>
          <w:sz w:val="32"/>
          <w:szCs w:val="32"/>
          <w:lang w:eastAsia="zh-CN"/>
        </w:rPr>
        <w:t>情况</w:t>
      </w:r>
      <w:r>
        <w:rPr>
          <w:rFonts w:hint="eastAsia" w:ascii="楷体" w:hAnsi="楷体" w:eastAsia="楷体" w:cs="楷体"/>
          <w:sz w:val="32"/>
          <w:szCs w:val="32"/>
        </w:rPr>
        <w:t>公开。</w:t>
      </w:r>
      <w:r>
        <w:rPr>
          <w:rFonts w:hint="eastAsia" w:ascii="仿宋" w:hAnsi="仿宋" w:eastAsia="仿宋" w:cs="仿宋"/>
          <w:b w:val="0"/>
          <w:bCs/>
          <w:i w:val="0"/>
          <w:caps w:val="0"/>
          <w:color w:val="3D3D3D"/>
          <w:spacing w:val="0"/>
          <w:sz w:val="32"/>
          <w:szCs w:val="32"/>
          <w:lang w:eastAsia="zh-CN"/>
        </w:rPr>
        <w:t>市及区县政府网站均设立了人大代表建议、政协委员提案及办理总体情况专栏，已办结除按相关规定不宜公开的外均全文公开办理答复书和办理总体情况。</w:t>
      </w:r>
      <w:r>
        <w:rPr>
          <w:rFonts w:hint="eastAsia" w:ascii="仿宋" w:hAnsi="仿宋" w:eastAsia="仿宋" w:cs="仿宋"/>
          <w:b w:val="0"/>
          <w:bCs/>
          <w:i w:val="0"/>
          <w:caps w:val="0"/>
          <w:color w:val="3D3D3D"/>
          <w:spacing w:val="0"/>
          <w:sz w:val="32"/>
          <w:szCs w:val="32"/>
          <w:lang w:val="en-US" w:eastAsia="zh-CN"/>
        </w:rPr>
        <w:t>2019年市政府承办市人大代表建议143件，共公开办理答复书142件；共承办市政协委员提案419件，共公开办理答复书330件（以上均含部门共同承办分别答复情形）。</w:t>
      </w:r>
    </w:p>
    <w:p>
      <w:pPr>
        <w:ind w:firstLine="643" w:firstLineChars="200"/>
        <w:rPr>
          <w:rFonts w:ascii="宋体" w:hAnsi="宋体" w:eastAsia="宋体" w:cs="宋体"/>
          <w:b/>
          <w:bCs/>
          <w:sz w:val="32"/>
          <w:szCs w:val="32"/>
        </w:rPr>
      </w:pPr>
      <w:r>
        <w:rPr>
          <w:rFonts w:hint="eastAsia" w:ascii="宋体" w:hAnsi="宋体" w:eastAsia="宋体" w:cs="宋体"/>
          <w:b/>
          <w:bCs/>
          <w:sz w:val="32"/>
          <w:szCs w:val="32"/>
        </w:rPr>
        <w:t>（五）做好申请答复</w:t>
      </w:r>
    </w:p>
    <w:p>
      <w:pPr>
        <w:ind w:firstLine="640" w:firstLineChars="200"/>
        <w:rPr>
          <w:rFonts w:ascii="仿宋" w:hAnsi="仿宋" w:eastAsia="仿宋" w:cs="仿宋"/>
          <w:sz w:val="32"/>
          <w:szCs w:val="32"/>
        </w:rPr>
      </w:pPr>
      <w:r>
        <w:rPr>
          <w:rFonts w:hint="eastAsia" w:ascii="楷体" w:hAnsi="楷体" w:eastAsia="楷体" w:cs="楷体"/>
          <w:sz w:val="32"/>
          <w:szCs w:val="32"/>
        </w:rPr>
        <w:t>一是拓宽申请渠道。</w:t>
      </w:r>
      <w:r>
        <w:rPr>
          <w:rFonts w:hint="eastAsia" w:ascii="仿宋" w:hAnsi="仿宋" w:eastAsia="仿宋" w:cs="仿宋"/>
          <w:sz w:val="32"/>
          <w:szCs w:val="32"/>
        </w:rPr>
        <w:t>在畅通当面、信函、传真等申请渠道的基础上，在市政府网站为市政府及市政府各部门、单位统一开通了政府信息公开申请网上提交渠道，方便公众提交信息公开申请。市政府和</w:t>
      </w:r>
      <w:r>
        <w:rPr>
          <w:rFonts w:hint="eastAsia" w:ascii="仿宋" w:hAnsi="仿宋" w:eastAsia="仿宋" w:cs="仿宋"/>
          <w:sz w:val="32"/>
          <w:szCs w:val="32"/>
          <w:lang w:eastAsia="zh-CN"/>
        </w:rPr>
        <w:t>市级</w:t>
      </w:r>
      <w:r>
        <w:rPr>
          <w:rFonts w:hint="eastAsia" w:ascii="仿宋" w:hAnsi="仿宋" w:eastAsia="仿宋" w:cs="仿宋"/>
          <w:sz w:val="32"/>
          <w:szCs w:val="32"/>
        </w:rPr>
        <w:t>部门全年共通过网上接受信息公开申请218件，占总受理量622件的35%，网上提交已成为公众申请政府信息公开的一个重要渠道。</w:t>
      </w:r>
    </w:p>
    <w:p>
      <w:pPr>
        <w:rPr>
          <w:rFonts w:hint="eastAsia" w:ascii="楷体" w:hAnsi="楷体" w:eastAsia="楷体" w:cs="楷体"/>
          <w:sz w:val="32"/>
          <w:szCs w:val="32"/>
        </w:rPr>
      </w:pPr>
      <w:r>
        <w:rPr>
          <w:rFonts w:hint="eastAsia" w:ascii="楷体" w:hAnsi="楷体" w:eastAsia="楷体" w:cs="楷体"/>
          <w:sz w:val="32"/>
          <w:szCs w:val="32"/>
        </w:rPr>
        <w:br w:type="page"/>
      </w:r>
    </w:p>
    <w:p>
      <w:pPr>
        <w:ind w:firstLine="420" w:firstLineChars="200"/>
        <w:rPr>
          <w:rFonts w:ascii="仿宋" w:hAnsi="仿宋" w:eastAsia="仿宋" w:cs="仿宋"/>
          <w:sz w:val="32"/>
          <w:szCs w:val="32"/>
        </w:rPr>
      </w:pPr>
      <w:r>
        <w:drawing>
          <wp:anchor distT="0" distB="0" distL="114300" distR="114300" simplePos="0" relativeHeight="252929024" behindDoc="1" locked="0" layoutInCell="1" allowOverlap="1">
            <wp:simplePos x="0" y="0"/>
            <wp:positionH relativeFrom="column">
              <wp:posOffset>-24130</wp:posOffset>
            </wp:positionH>
            <wp:positionV relativeFrom="paragraph">
              <wp:posOffset>876300</wp:posOffset>
            </wp:positionV>
            <wp:extent cx="3656330" cy="3439795"/>
            <wp:effectExtent l="9525" t="9525" r="10795" b="17780"/>
            <wp:wrapTight wrapText="bothSides">
              <wp:wrapPolygon>
                <wp:start x="-56" y="-60"/>
                <wp:lineTo x="-56" y="21592"/>
                <wp:lineTo x="21551" y="21592"/>
                <wp:lineTo x="21551" y="-60"/>
                <wp:lineTo x="-56" y="-60"/>
              </wp:wrapPolygon>
            </wp:wrapTight>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41"/>
                    <a:stretch>
                      <a:fillRect/>
                    </a:stretch>
                  </pic:blipFill>
                  <pic:spPr>
                    <a:xfrm>
                      <a:off x="0" y="0"/>
                      <a:ext cx="3656330" cy="3439795"/>
                    </a:xfrm>
                    <a:prstGeom prst="rect">
                      <a:avLst/>
                    </a:prstGeom>
                    <a:noFill/>
                    <a:ln>
                      <a:solidFill>
                        <a:srgbClr val="0000FF"/>
                      </a:solidFill>
                    </a:ln>
                  </pic:spPr>
                </pic:pic>
              </a:graphicData>
            </a:graphic>
          </wp:anchor>
        </w:drawing>
      </w:r>
      <w:r>
        <w:rPr>
          <w:rFonts w:hint="eastAsia" w:ascii="楷体" w:hAnsi="楷体" w:eastAsia="楷体" w:cs="楷体"/>
          <w:sz w:val="32"/>
          <w:szCs w:val="32"/>
        </w:rPr>
        <w:t>二是完善工作流程。</w:t>
      </w:r>
      <w:r>
        <w:rPr>
          <w:rFonts w:hint="eastAsia" w:ascii="仿宋" w:hAnsi="仿宋" w:eastAsia="仿宋" w:cs="仿宋"/>
          <w:sz w:val="32"/>
          <w:szCs w:val="32"/>
        </w:rPr>
        <w:t>市政府依申请公开</w:t>
      </w:r>
      <w:r>
        <w:rPr>
          <w:rFonts w:hint="eastAsia" w:ascii="仿宋" w:hAnsi="仿宋" w:eastAsia="仿宋" w:cs="仿宋"/>
          <w:sz w:val="32"/>
          <w:szCs w:val="32"/>
          <w:lang w:eastAsia="zh-CN"/>
        </w:rPr>
        <w:t>始终</w:t>
      </w:r>
      <w:r>
        <w:rPr>
          <w:rFonts w:hint="eastAsia" w:ascii="仿宋" w:hAnsi="仿宋" w:eastAsia="仿宋" w:cs="仿宋"/>
          <w:sz w:val="32"/>
          <w:szCs w:val="32"/>
        </w:rPr>
        <w:t>坚持“工作机构受理</w:t>
      </w:r>
      <w:r>
        <w:rPr>
          <w:rFonts w:hint="eastAsia" w:ascii="仿宋" w:hAnsi="仿宋" w:eastAsia="仿宋" w:cs="仿宋"/>
          <w:sz w:val="32"/>
          <w:szCs w:val="32"/>
          <w:lang w:eastAsia="zh-CN"/>
        </w:rPr>
        <w:t>—</w:t>
      </w:r>
      <w:r>
        <w:rPr>
          <w:rFonts w:hint="eastAsia" w:ascii="仿宋" w:hAnsi="仿宋" w:eastAsia="仿宋" w:cs="仿宋"/>
          <w:sz w:val="32"/>
          <w:szCs w:val="32"/>
        </w:rPr>
        <w:t>业务部门承办</w:t>
      </w:r>
      <w:r>
        <w:rPr>
          <w:rFonts w:hint="eastAsia" w:ascii="仿宋" w:hAnsi="仿宋" w:eastAsia="仿宋" w:cs="仿宋"/>
          <w:sz w:val="32"/>
          <w:szCs w:val="32"/>
          <w:lang w:eastAsia="zh-CN"/>
        </w:rPr>
        <w:t>—</w:t>
      </w:r>
      <w:r>
        <w:rPr>
          <w:rFonts w:hint="eastAsia" w:ascii="仿宋" w:hAnsi="仿宋" w:eastAsia="仿宋" w:cs="仿宋"/>
          <w:sz w:val="32"/>
          <w:szCs w:val="32"/>
        </w:rPr>
        <w:t>重大问题会商</w:t>
      </w:r>
      <w:r>
        <w:rPr>
          <w:rFonts w:hint="eastAsia" w:ascii="仿宋" w:hAnsi="仿宋" w:eastAsia="仿宋" w:cs="仿宋"/>
          <w:sz w:val="32"/>
          <w:szCs w:val="32"/>
          <w:lang w:eastAsia="zh-CN"/>
        </w:rPr>
        <w:t>—</w:t>
      </w:r>
      <w:r>
        <w:rPr>
          <w:rFonts w:hint="eastAsia" w:ascii="仿宋" w:hAnsi="仿宋" w:eastAsia="仿宋" w:cs="仿宋"/>
          <w:sz w:val="32"/>
          <w:szCs w:val="32"/>
        </w:rPr>
        <w:t>法制部门审查</w:t>
      </w:r>
      <w:r>
        <w:rPr>
          <w:rFonts w:hint="eastAsia" w:ascii="仿宋" w:hAnsi="仿宋" w:eastAsia="仿宋" w:cs="仿宋"/>
          <w:sz w:val="32"/>
          <w:szCs w:val="32"/>
          <w:lang w:eastAsia="zh-CN"/>
        </w:rPr>
        <w:t>—</w:t>
      </w:r>
      <w:r>
        <w:rPr>
          <w:rFonts w:hint="eastAsia" w:ascii="仿宋" w:hAnsi="仿宋" w:eastAsia="仿宋" w:cs="仿宋"/>
          <w:sz w:val="32"/>
          <w:szCs w:val="32"/>
        </w:rPr>
        <w:t>市政府领导签发”的工作程序，</w:t>
      </w:r>
      <w:r>
        <w:rPr>
          <w:rFonts w:hint="eastAsia" w:ascii="仿宋" w:hAnsi="仿宋" w:eastAsia="仿宋" w:cs="仿宋"/>
          <w:sz w:val="32"/>
          <w:szCs w:val="32"/>
          <w:lang w:eastAsia="zh-CN"/>
        </w:rPr>
        <w:t>不断优化</w:t>
      </w:r>
      <w:r>
        <w:rPr>
          <w:rFonts w:hint="eastAsia" w:ascii="仿宋" w:hAnsi="仿宋" w:eastAsia="仿宋" w:cs="仿宋"/>
          <w:sz w:val="32"/>
          <w:szCs w:val="32"/>
        </w:rPr>
        <w:t>完善</w:t>
      </w:r>
      <w:r>
        <w:rPr>
          <w:rFonts w:hint="eastAsia" w:ascii="仿宋" w:hAnsi="仿宋" w:eastAsia="仿宋" w:cs="仿宋"/>
          <w:sz w:val="32"/>
          <w:szCs w:val="32"/>
          <w:lang w:eastAsia="zh-CN"/>
        </w:rPr>
        <w:t>受理登记、</w:t>
      </w:r>
      <w:r>
        <w:rPr>
          <w:rFonts w:hint="eastAsia" w:ascii="仿宋" w:hAnsi="仿宋" w:eastAsia="仿宋" w:cs="仿宋"/>
          <w:sz w:val="32"/>
          <w:szCs w:val="32"/>
        </w:rPr>
        <w:t>事项交办、调查</w:t>
      </w:r>
      <w:r>
        <w:rPr>
          <w:rFonts w:hint="eastAsia" w:ascii="仿宋" w:hAnsi="仿宋" w:eastAsia="仿宋" w:cs="仿宋"/>
          <w:sz w:val="32"/>
          <w:szCs w:val="32"/>
          <w:lang w:eastAsia="zh-CN"/>
        </w:rPr>
        <w:t>核实</w:t>
      </w:r>
      <w:r>
        <w:rPr>
          <w:rFonts w:hint="eastAsia" w:ascii="仿宋" w:hAnsi="仿宋" w:eastAsia="仿宋" w:cs="仿宋"/>
          <w:sz w:val="32"/>
          <w:szCs w:val="32"/>
        </w:rPr>
        <w:t>、</w:t>
      </w:r>
      <w:r>
        <w:rPr>
          <w:rFonts w:hint="eastAsia" w:ascii="仿宋" w:hAnsi="仿宋" w:eastAsia="仿宋" w:cs="仿宋"/>
          <w:sz w:val="32"/>
          <w:szCs w:val="32"/>
          <w:lang w:eastAsia="zh-CN"/>
        </w:rPr>
        <w:t>答复书制作、</w:t>
      </w:r>
      <w:r>
        <w:rPr>
          <w:rFonts w:hint="eastAsia" w:ascii="仿宋" w:hAnsi="仿宋" w:eastAsia="仿宋" w:cs="仿宋"/>
          <w:sz w:val="32"/>
          <w:szCs w:val="32"/>
        </w:rPr>
        <w:t>合法性审查</w:t>
      </w:r>
      <w:r>
        <w:rPr>
          <w:rFonts w:hint="eastAsia" w:ascii="仿宋" w:hAnsi="仿宋" w:eastAsia="仿宋" w:cs="仿宋"/>
          <w:sz w:val="32"/>
          <w:szCs w:val="32"/>
          <w:lang w:eastAsia="zh-CN"/>
        </w:rPr>
        <w:t>、文书送达、案卷归档等</w:t>
      </w:r>
      <w:r>
        <w:rPr>
          <w:rFonts w:hint="eastAsia" w:ascii="仿宋" w:hAnsi="仿宋" w:eastAsia="仿宋" w:cs="仿宋"/>
          <w:sz w:val="32"/>
          <w:szCs w:val="32"/>
        </w:rPr>
        <w:t>各环节</w:t>
      </w:r>
      <w:r>
        <w:rPr>
          <w:rFonts w:hint="eastAsia" w:ascii="仿宋" w:hAnsi="仿宋" w:eastAsia="仿宋" w:cs="仿宋"/>
          <w:sz w:val="32"/>
          <w:szCs w:val="32"/>
          <w:lang w:eastAsia="zh-CN"/>
        </w:rPr>
        <w:t>工作</w:t>
      </w:r>
      <w:r>
        <w:rPr>
          <w:rFonts w:hint="eastAsia" w:ascii="仿宋" w:hAnsi="仿宋" w:eastAsia="仿宋" w:cs="仿宋"/>
          <w:sz w:val="32"/>
          <w:szCs w:val="32"/>
        </w:rPr>
        <w:t>机制，</w:t>
      </w:r>
      <w:r>
        <w:rPr>
          <w:rFonts w:hint="eastAsia" w:ascii="仿宋" w:hAnsi="仿宋" w:eastAsia="仿宋" w:cs="仿宋"/>
          <w:sz w:val="32"/>
          <w:szCs w:val="32"/>
          <w:lang w:eastAsia="zh-CN"/>
        </w:rPr>
        <w:t>努力</w:t>
      </w:r>
      <w:r>
        <w:rPr>
          <w:rFonts w:hint="eastAsia" w:ascii="仿宋" w:hAnsi="仿宋" w:eastAsia="仿宋" w:cs="仿宋"/>
          <w:sz w:val="32"/>
          <w:szCs w:val="32"/>
        </w:rPr>
        <w:t>提高</w:t>
      </w:r>
      <w:r>
        <w:rPr>
          <w:rFonts w:hint="eastAsia" w:ascii="仿宋" w:hAnsi="仿宋" w:eastAsia="仿宋" w:cs="仿宋"/>
          <w:sz w:val="32"/>
          <w:szCs w:val="32"/>
          <w:lang w:eastAsia="zh-CN"/>
        </w:rPr>
        <w:t>答复时效和</w:t>
      </w:r>
      <w:r>
        <w:rPr>
          <w:rFonts w:hint="eastAsia" w:ascii="仿宋" w:hAnsi="仿宋" w:eastAsia="仿宋" w:cs="仿宋"/>
          <w:sz w:val="32"/>
          <w:szCs w:val="32"/>
        </w:rPr>
        <w:t>答复质量</w:t>
      </w:r>
      <w:r>
        <w:rPr>
          <w:rFonts w:hint="eastAsia" w:ascii="仿宋" w:hAnsi="仿宋" w:eastAsia="仿宋" w:cs="仿宋"/>
          <w:sz w:val="32"/>
          <w:szCs w:val="32"/>
          <w:lang w:eastAsia="zh-CN"/>
        </w:rPr>
        <w:t>，更好地满足公共对政府信息的个性化需求</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hint="eastAsia" w:ascii="楷体" w:hAnsi="楷体" w:eastAsia="楷体" w:cs="楷体"/>
          <w:sz w:val="32"/>
          <w:szCs w:val="32"/>
        </w:rPr>
        <w:t>三是加强沟通化解矛盾。</w:t>
      </w:r>
      <w:r>
        <w:rPr>
          <w:rFonts w:hint="eastAsia" w:ascii="仿宋" w:hAnsi="仿宋" w:eastAsia="仿宋" w:cs="仿宋"/>
          <w:sz w:val="32"/>
          <w:szCs w:val="32"/>
        </w:rPr>
        <w:t>市政府工作机构在办理信息公开申请过程中，做到答复前、答复中、答复后均与申请人进行联系沟通，以准确把握申请人的</w:t>
      </w:r>
      <w:r>
        <w:rPr>
          <w:rFonts w:hint="eastAsia" w:ascii="仿宋" w:hAnsi="仿宋" w:eastAsia="仿宋" w:cs="仿宋"/>
          <w:sz w:val="32"/>
          <w:szCs w:val="32"/>
          <w:lang w:eastAsia="zh-CN"/>
        </w:rPr>
        <w:t>信息需求</w:t>
      </w:r>
      <w:r>
        <w:rPr>
          <w:rFonts w:hint="eastAsia" w:ascii="仿宋" w:hAnsi="仿宋" w:eastAsia="仿宋" w:cs="仿宋"/>
          <w:sz w:val="32"/>
          <w:szCs w:val="32"/>
        </w:rPr>
        <w:t>，提高答复针对性和准确性，让申请人深切感受到政府保障公众知情权的</w:t>
      </w:r>
      <w:r>
        <w:rPr>
          <w:rFonts w:hint="eastAsia" w:ascii="仿宋" w:hAnsi="仿宋" w:eastAsia="仿宋" w:cs="仿宋"/>
          <w:sz w:val="32"/>
          <w:szCs w:val="32"/>
          <w:lang w:eastAsia="zh-CN"/>
        </w:rPr>
        <w:t>一贯</w:t>
      </w:r>
      <w:r>
        <w:rPr>
          <w:rFonts w:hint="eastAsia" w:ascii="仿宋" w:hAnsi="仿宋" w:eastAsia="仿宋" w:cs="仿宋"/>
          <w:sz w:val="32"/>
          <w:szCs w:val="32"/>
        </w:rPr>
        <w:t>意愿，有力地化解了一些不必要的纠纷，大大降低了</w:t>
      </w:r>
      <w:r>
        <w:rPr>
          <w:rFonts w:hint="eastAsia" w:ascii="仿宋" w:hAnsi="仿宋" w:eastAsia="仿宋" w:cs="仿宋"/>
          <w:sz w:val="32"/>
          <w:szCs w:val="32"/>
          <w:lang w:eastAsia="zh-CN"/>
        </w:rPr>
        <w:t>行政</w:t>
      </w:r>
      <w:r>
        <w:rPr>
          <w:rFonts w:hint="eastAsia" w:ascii="仿宋" w:hAnsi="仿宋" w:eastAsia="仿宋" w:cs="仿宋"/>
          <w:sz w:val="32"/>
          <w:szCs w:val="32"/>
        </w:rPr>
        <w:t>复议</w:t>
      </w:r>
      <w:r>
        <w:rPr>
          <w:rFonts w:hint="eastAsia" w:ascii="仿宋" w:hAnsi="仿宋" w:eastAsia="仿宋" w:cs="仿宋"/>
          <w:sz w:val="32"/>
          <w:szCs w:val="32"/>
          <w:lang w:eastAsia="zh-CN"/>
        </w:rPr>
        <w:t>和行政</w:t>
      </w:r>
      <w:r>
        <w:rPr>
          <w:rFonts w:hint="eastAsia" w:ascii="仿宋" w:hAnsi="仿宋" w:eastAsia="仿宋" w:cs="仿宋"/>
          <w:sz w:val="32"/>
          <w:szCs w:val="32"/>
        </w:rPr>
        <w:t>诉讼率。</w:t>
      </w:r>
    </w:p>
    <w:p>
      <w:pPr>
        <w:ind w:firstLine="640" w:firstLineChars="200"/>
        <w:rPr>
          <w:rFonts w:ascii="仿宋" w:hAnsi="仿宋" w:eastAsia="仿宋" w:cs="仿宋"/>
          <w:sz w:val="32"/>
          <w:szCs w:val="32"/>
        </w:rPr>
      </w:pPr>
      <w:r>
        <w:rPr>
          <w:rFonts w:hint="eastAsia" w:ascii="楷体" w:hAnsi="楷体" w:eastAsia="楷体" w:cs="楷体"/>
          <w:sz w:val="32"/>
          <w:szCs w:val="32"/>
        </w:rPr>
        <w:t>四是创新办理机制。</w:t>
      </w:r>
      <w:r>
        <w:rPr>
          <w:rFonts w:hint="eastAsia" w:ascii="仿宋" w:hAnsi="仿宋" w:eastAsia="仿宋" w:cs="仿宋"/>
          <w:sz w:val="32"/>
          <w:szCs w:val="32"/>
          <w:lang w:eastAsia="zh-CN"/>
        </w:rPr>
        <w:t>为更好地满足公众知情权，</w:t>
      </w:r>
      <w:r>
        <w:rPr>
          <w:rFonts w:hint="eastAsia" w:ascii="仿宋" w:hAnsi="仿宋" w:eastAsia="仿宋" w:cs="仿宋"/>
          <w:sz w:val="32"/>
          <w:szCs w:val="32"/>
          <w:lang w:val="en-US" w:eastAsia="zh-CN"/>
        </w:rPr>
        <w:t>2019年</w:t>
      </w:r>
      <w:r>
        <w:rPr>
          <w:rFonts w:hint="eastAsia" w:ascii="仿宋" w:hAnsi="仿宋" w:eastAsia="仿宋" w:cs="仿宋"/>
          <w:sz w:val="32"/>
          <w:szCs w:val="32"/>
        </w:rPr>
        <w:t>市政府专门列预算引</w:t>
      </w:r>
      <w:r>
        <w:rPr>
          <w:rFonts w:hint="eastAsia" w:ascii="仿宋" w:hAnsi="仿宋" w:eastAsia="仿宋" w:cs="仿宋"/>
          <w:sz w:val="32"/>
          <w:szCs w:val="32"/>
          <w:lang w:eastAsia="zh-CN"/>
        </w:rPr>
        <w:t>入</w:t>
      </w:r>
      <w:r>
        <w:rPr>
          <w:rFonts w:hint="eastAsia" w:ascii="仿宋" w:hAnsi="仿宋" w:eastAsia="仿宋" w:cs="仿宋"/>
          <w:sz w:val="32"/>
          <w:szCs w:val="32"/>
        </w:rPr>
        <w:t>专业律师团队辅助</w:t>
      </w:r>
      <w:r>
        <w:rPr>
          <w:rFonts w:hint="eastAsia" w:ascii="仿宋" w:hAnsi="仿宋" w:eastAsia="仿宋" w:cs="仿宋"/>
          <w:sz w:val="32"/>
          <w:szCs w:val="32"/>
          <w:lang w:eastAsia="zh-CN"/>
        </w:rPr>
        <w:t>开展</w:t>
      </w:r>
      <w:r>
        <w:rPr>
          <w:rFonts w:hint="eastAsia" w:ascii="仿宋" w:hAnsi="仿宋" w:eastAsia="仿宋" w:cs="仿宋"/>
          <w:sz w:val="32"/>
          <w:szCs w:val="32"/>
        </w:rPr>
        <w:t>依申请公开工作，该项工作</w:t>
      </w:r>
      <w:r>
        <w:rPr>
          <w:rFonts w:hint="eastAsia" w:ascii="仿宋" w:hAnsi="仿宋" w:eastAsia="仿宋" w:cs="仿宋"/>
          <w:sz w:val="32"/>
          <w:szCs w:val="32"/>
          <w:lang w:val="en-US" w:eastAsia="zh-CN"/>
        </w:rPr>
        <w:t>11月完成公开</w:t>
      </w:r>
      <w:r>
        <w:rPr>
          <w:rFonts w:hint="eastAsia" w:ascii="仿宋" w:hAnsi="仿宋" w:eastAsia="仿宋" w:cs="仿宋"/>
          <w:sz w:val="32"/>
          <w:szCs w:val="32"/>
          <w:lang w:eastAsia="zh-CN"/>
        </w:rPr>
        <w:t>招标</w:t>
      </w:r>
      <w:r>
        <w:rPr>
          <w:rFonts w:hint="eastAsia" w:ascii="仿宋" w:hAnsi="仿宋" w:eastAsia="仿宋" w:cs="仿宋"/>
          <w:sz w:val="32"/>
          <w:szCs w:val="32"/>
        </w:rPr>
        <w:t>程序，</w:t>
      </w:r>
      <w:r>
        <w:rPr>
          <w:rFonts w:hint="eastAsia" w:ascii="仿宋" w:hAnsi="仿宋" w:eastAsia="仿宋" w:cs="仿宋"/>
          <w:sz w:val="32"/>
          <w:szCs w:val="32"/>
          <w:lang w:eastAsia="zh-CN"/>
        </w:rPr>
        <w:t>中标律师事务所</w:t>
      </w:r>
      <w:r>
        <w:rPr>
          <w:rFonts w:hint="eastAsia" w:ascii="仿宋" w:hAnsi="仿宋" w:eastAsia="仿宋" w:cs="仿宋"/>
          <w:sz w:val="32"/>
          <w:szCs w:val="32"/>
          <w:lang w:val="en-US" w:eastAsia="zh-CN"/>
        </w:rPr>
        <w:t>派</w:t>
      </w:r>
      <w:r>
        <w:rPr>
          <w:rFonts w:hint="eastAsia" w:ascii="仿宋" w:hAnsi="仿宋" w:eastAsia="仿宋" w:cs="仿宋"/>
          <w:sz w:val="32"/>
          <w:szCs w:val="32"/>
          <w:lang w:eastAsia="zh-CN"/>
        </w:rPr>
        <w:t>出执业律师</w:t>
      </w:r>
      <w:r>
        <w:rPr>
          <w:rFonts w:hint="eastAsia" w:ascii="仿宋" w:hAnsi="仿宋" w:eastAsia="仿宋" w:cs="仿宋"/>
          <w:sz w:val="32"/>
          <w:szCs w:val="32"/>
          <w:lang w:val="en-US" w:eastAsia="zh-CN"/>
        </w:rPr>
        <w:t>12月开始</w:t>
      </w:r>
      <w:r>
        <w:rPr>
          <w:rFonts w:hint="eastAsia" w:ascii="仿宋" w:hAnsi="仿宋" w:eastAsia="仿宋" w:cs="仿宋"/>
          <w:sz w:val="32"/>
          <w:szCs w:val="32"/>
          <w:lang w:eastAsia="zh-CN"/>
        </w:rPr>
        <w:t>开展工作。</w:t>
      </w:r>
      <w:r>
        <w:rPr>
          <w:rFonts w:hint="eastAsia" w:ascii="仿宋" w:hAnsi="仿宋" w:eastAsia="仿宋" w:cs="仿宋"/>
          <w:sz w:val="32"/>
          <w:szCs w:val="32"/>
        </w:rPr>
        <w:t>律师团队主要提供2项服务：1.市政府依申请公开政府信息非诉讼代理（含文书和证明）相关辅助法律服务，包括：公民、法人和其他组织向市政府提交的信息公开申请受理登记、起草送达文书、行政复议、统计分析等相关辅助工作；2.市政府依申请公开政府信息诉讼代理相关辅助法律服务，包括：法院一审、二审、审判监督程序等整个过程的诉讼代理相关辅助工作。。</w:t>
      </w:r>
    </w:p>
    <w:p>
      <w:pPr>
        <w:spacing w:before="156" w:beforeLines="50" w:after="156" w:afterLines="5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二、主动公开政府信息情况</w:t>
      </w:r>
      <w:bookmarkStart w:id="1" w:name="_GoBack"/>
      <w:bookmarkEnd w:id="1"/>
    </w:p>
    <w:tbl>
      <w:tblPr>
        <w:tblStyle w:val="9"/>
        <w:tblW w:w="91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769"/>
        <w:gridCol w:w="2763"/>
        <w:gridCol w:w="1644"/>
        <w:gridCol w:w="1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6" w:hRule="atLeast"/>
        </w:trPr>
        <w:tc>
          <w:tcPr>
            <w:tcW w:w="91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8"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信息内容</w:t>
            </w:r>
          </w:p>
        </w:tc>
        <w:tc>
          <w:tcPr>
            <w:tcW w:w="2763"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本年新制作数量</w:t>
            </w:r>
          </w:p>
        </w:tc>
        <w:tc>
          <w:tcPr>
            <w:tcW w:w="1644"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本年新</w:t>
            </w:r>
          </w:p>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公开数量</w:t>
            </w:r>
          </w:p>
        </w:tc>
        <w:tc>
          <w:tcPr>
            <w:tcW w:w="1964" w:type="dxa"/>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对外公开</w:t>
            </w:r>
          </w:p>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总数量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6"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规章</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cs="宋体"/>
                <w:i w:val="0"/>
                <w:color w:val="000000"/>
                <w:kern w:val="0"/>
                <w:sz w:val="24"/>
                <w:szCs w:val="24"/>
                <w:u w:val="none"/>
                <w:lang w:val="en-US" w:eastAsia="zh-CN" w:bidi="ar"/>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4"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规范性文件</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392</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cs="宋体"/>
                <w:i w:val="0"/>
                <w:color w:val="000000"/>
                <w:kern w:val="0"/>
                <w:sz w:val="24"/>
                <w:szCs w:val="24"/>
                <w:u w:val="none"/>
                <w:lang w:val="en-US" w:eastAsia="zh-CN" w:bidi="ar"/>
              </w:rPr>
              <w:t>1316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6" w:hRule="atLeast"/>
        </w:trPr>
        <w:tc>
          <w:tcPr>
            <w:tcW w:w="91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4"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信息内容</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上一年项目数量</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本年增/减</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行政许可</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5</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1924071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9"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其他对外管理服务事项</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1583</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128248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6" w:hRule="atLeast"/>
        </w:trPr>
        <w:tc>
          <w:tcPr>
            <w:tcW w:w="91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4"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信息内容</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上一年项目数量</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本年增/减</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6"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行政处罚</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2420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3</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6"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行政强制</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1</w:t>
            </w:r>
          </w:p>
        </w:tc>
        <w:tc>
          <w:tcPr>
            <w:tcW w:w="19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6" w:hRule="atLeast"/>
        </w:trPr>
        <w:tc>
          <w:tcPr>
            <w:tcW w:w="91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4"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信息内容</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上一年项目数量</w:t>
            </w:r>
          </w:p>
        </w:tc>
        <w:tc>
          <w:tcPr>
            <w:tcW w:w="36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本年增/减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4"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行政事业性收费</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93</w:t>
            </w:r>
          </w:p>
        </w:tc>
        <w:tc>
          <w:tcPr>
            <w:tcW w:w="36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6" w:hRule="atLeast"/>
        </w:trPr>
        <w:tc>
          <w:tcPr>
            <w:tcW w:w="91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第二十条第（九）项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4"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信息内容</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采购项目数量</w:t>
            </w:r>
          </w:p>
        </w:tc>
        <w:tc>
          <w:tcPr>
            <w:tcW w:w="36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采购总金额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6"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政府集中采购</w:t>
            </w:r>
          </w:p>
        </w:tc>
        <w:tc>
          <w:tcPr>
            <w:tcW w:w="27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cs="宋体"/>
                <w:i w:val="0"/>
                <w:color w:val="000000"/>
                <w:kern w:val="0"/>
                <w:sz w:val="24"/>
                <w:szCs w:val="24"/>
                <w:u w:val="none"/>
                <w:lang w:val="en-US" w:eastAsia="zh-CN" w:bidi="ar"/>
              </w:rPr>
              <w:t>6514</w:t>
            </w:r>
          </w:p>
        </w:tc>
        <w:tc>
          <w:tcPr>
            <w:tcW w:w="360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112.5866亿元</w:t>
            </w:r>
          </w:p>
        </w:tc>
      </w:tr>
    </w:tbl>
    <w:p>
      <w:pP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br w:type="page"/>
      </w:r>
    </w:p>
    <w:p>
      <w:pPr>
        <w:spacing w:before="156" w:beforeLines="50" w:after="156" w:afterLines="50"/>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三、收到和处理政府信息公开申请情况</w:t>
      </w:r>
    </w:p>
    <w:tbl>
      <w:tblPr>
        <w:tblStyle w:val="10"/>
        <w:tblpPr w:leftFromText="180" w:rightFromText="180" w:vertAnchor="text" w:horzAnchor="page" w:tblpX="1127" w:tblpY="403"/>
        <w:tblOverlap w:val="never"/>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770"/>
        <w:gridCol w:w="2756"/>
        <w:gridCol w:w="994"/>
        <w:gridCol w:w="900"/>
        <w:gridCol w:w="712"/>
        <w:gridCol w:w="750"/>
        <w:gridCol w:w="713"/>
        <w:gridCol w:w="769"/>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4093" w:type="dxa"/>
            <w:gridSpan w:val="3"/>
            <w:vMerge w:val="restart"/>
            <w:vAlign w:val="center"/>
          </w:tcPr>
          <w:p>
            <w:pPr>
              <w:rPr>
                <w:rFonts w:hint="eastAsia" w:asciiTheme="minorHAnsi" w:hAnsiTheme="minorHAnsi" w:eastAsiaTheme="minorEastAsia" w:cstheme="minorBidi"/>
                <w:b/>
                <w:bCs/>
                <w:szCs w:val="22"/>
              </w:rPr>
            </w:pPr>
            <w:r>
              <w:rPr>
                <w:rFonts w:hint="eastAsia" w:asciiTheme="minorHAnsi" w:hAnsiTheme="minorHAnsi" w:eastAsiaTheme="minorEastAsia" w:cstheme="minorBidi"/>
                <w:b/>
                <w:bCs/>
                <w:szCs w:val="22"/>
              </w:rPr>
              <w:t>（本列数据的勾稽关系为：第一项加第二项之和，等于第三项加第四项之和）</w:t>
            </w:r>
          </w:p>
        </w:tc>
        <w:tc>
          <w:tcPr>
            <w:tcW w:w="5687" w:type="dxa"/>
            <w:gridSpan w:val="7"/>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093" w:type="dxa"/>
            <w:gridSpan w:val="3"/>
            <w:vMerge w:val="continue"/>
          </w:tcPr>
          <w:p>
            <w:pPr>
              <w:rPr>
                <w:rFonts w:hint="eastAsia" w:asciiTheme="minorHAnsi" w:hAnsiTheme="minorHAnsi" w:eastAsiaTheme="minorEastAsia" w:cstheme="minorBidi"/>
                <w:b/>
                <w:bCs/>
                <w:szCs w:val="22"/>
              </w:rPr>
            </w:pPr>
          </w:p>
        </w:tc>
        <w:tc>
          <w:tcPr>
            <w:tcW w:w="994" w:type="dxa"/>
            <w:vMerge w:val="restart"/>
            <w:vAlign w:val="center"/>
          </w:tcPr>
          <w:p>
            <w:pPr>
              <w:jc w:val="center"/>
              <w:rPr>
                <w:rFonts w:hint="eastAsia" w:asciiTheme="minorHAnsi" w:hAnsiTheme="minorHAnsi" w:eastAsiaTheme="minorEastAsia" w:cstheme="minorBidi"/>
                <w:b/>
                <w:bCs/>
                <w:sz w:val="18"/>
                <w:szCs w:val="18"/>
              </w:rPr>
            </w:pPr>
            <w:r>
              <w:rPr>
                <w:rFonts w:hint="eastAsia" w:asciiTheme="minorHAnsi" w:hAnsiTheme="minorHAnsi" w:eastAsiaTheme="minorEastAsia" w:cstheme="minorBidi"/>
                <w:b/>
                <w:bCs/>
                <w:szCs w:val="21"/>
              </w:rPr>
              <w:t>自然人</w:t>
            </w:r>
          </w:p>
        </w:tc>
        <w:tc>
          <w:tcPr>
            <w:tcW w:w="3844" w:type="dxa"/>
            <w:gridSpan w:val="5"/>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法人或其他组织</w:t>
            </w:r>
          </w:p>
        </w:tc>
        <w:tc>
          <w:tcPr>
            <w:tcW w:w="849" w:type="dxa"/>
            <w:vMerge w:val="restart"/>
            <w:vAlign w:val="center"/>
          </w:tcPr>
          <w:p>
            <w:pP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4093" w:type="dxa"/>
            <w:gridSpan w:val="3"/>
            <w:vMerge w:val="continue"/>
          </w:tcPr>
          <w:p>
            <w:pPr>
              <w:rPr>
                <w:rFonts w:hint="eastAsia" w:asciiTheme="minorHAnsi" w:hAnsiTheme="minorHAnsi" w:eastAsiaTheme="minorEastAsia" w:cstheme="minorBidi"/>
                <w:szCs w:val="22"/>
              </w:rPr>
            </w:pPr>
          </w:p>
        </w:tc>
        <w:tc>
          <w:tcPr>
            <w:tcW w:w="994" w:type="dxa"/>
            <w:vMerge w:val="continue"/>
          </w:tcPr>
          <w:p>
            <w:pPr>
              <w:rPr>
                <w:rFonts w:hint="eastAsia" w:asciiTheme="minorHAnsi" w:hAnsiTheme="minorHAnsi" w:eastAsiaTheme="minorEastAsia" w:cstheme="minorBidi"/>
                <w:sz w:val="18"/>
                <w:szCs w:val="18"/>
              </w:rPr>
            </w:pPr>
          </w:p>
        </w:tc>
        <w:tc>
          <w:tcPr>
            <w:tcW w:w="900" w:type="dxa"/>
            <w:vAlign w:val="center"/>
          </w:tcPr>
          <w:p>
            <w:pP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商业企业</w:t>
            </w:r>
          </w:p>
        </w:tc>
        <w:tc>
          <w:tcPr>
            <w:tcW w:w="712" w:type="dxa"/>
            <w:vAlign w:val="center"/>
          </w:tcPr>
          <w:p>
            <w:pP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科研机构</w:t>
            </w:r>
          </w:p>
        </w:tc>
        <w:tc>
          <w:tcPr>
            <w:tcW w:w="750" w:type="dxa"/>
            <w:vAlign w:val="center"/>
          </w:tcPr>
          <w:p>
            <w:pP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社会公益组织</w:t>
            </w:r>
          </w:p>
        </w:tc>
        <w:tc>
          <w:tcPr>
            <w:tcW w:w="713" w:type="dxa"/>
            <w:vAlign w:val="center"/>
          </w:tcPr>
          <w:p>
            <w:pP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法律服务机构</w:t>
            </w:r>
          </w:p>
        </w:tc>
        <w:tc>
          <w:tcPr>
            <w:tcW w:w="769" w:type="dxa"/>
            <w:vAlign w:val="center"/>
          </w:tcPr>
          <w:p>
            <w:pP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其他</w:t>
            </w:r>
          </w:p>
        </w:tc>
        <w:tc>
          <w:tcPr>
            <w:tcW w:w="849" w:type="dxa"/>
            <w:vMerge w:val="continue"/>
            <w:vAlign w:val="center"/>
          </w:tcPr>
          <w:p>
            <w:pPr>
              <w:rPr>
                <w:rFonts w:hint="eastAsia" w:asciiTheme="minorHAnsi" w:hAnsiTheme="minorHAnsi" w:eastAsiaTheme="minorEastAsia" w:cstheme="minorBidi"/>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093" w:type="dxa"/>
            <w:gridSpan w:val="3"/>
          </w:tcPr>
          <w:p>
            <w:pPr>
              <w:rPr>
                <w:rFonts w:hint="eastAsia" w:asciiTheme="minorHAnsi" w:hAnsiTheme="minorHAnsi" w:eastAsiaTheme="minorEastAsia" w:cstheme="minorBidi"/>
                <w:b/>
                <w:bCs/>
                <w:szCs w:val="22"/>
              </w:rPr>
            </w:pPr>
            <w:r>
              <w:rPr>
                <w:rFonts w:hint="eastAsia" w:asciiTheme="minorHAnsi" w:hAnsiTheme="minorHAnsi" w:eastAsiaTheme="minorEastAsia" w:cstheme="minorBidi"/>
                <w:b/>
                <w:bCs/>
                <w:szCs w:val="22"/>
              </w:rPr>
              <w:t>一、本年新收政府信息公开申请数量</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1223</w:t>
            </w:r>
          </w:p>
        </w:tc>
        <w:tc>
          <w:tcPr>
            <w:tcW w:w="900" w:type="dxa"/>
            <w:vAlign w:val="center"/>
          </w:tcPr>
          <w:p>
            <w:pPr>
              <w:jc w:val="center"/>
              <w:rPr>
                <w:rFonts w:hint="eastAsia" w:asciiTheme="minorHAnsi" w:hAnsiTheme="minorHAnsi" w:eastAsiaTheme="minorEastAsia" w:cstheme="minorBidi"/>
                <w:szCs w:val="21"/>
              </w:rPr>
            </w:pPr>
            <w:r>
              <w:rPr>
                <w:rFonts w:hint="eastAsia" w:ascii="黑体" w:hAnsi="黑体" w:eastAsia="黑体"/>
                <w:color w:val="000000"/>
                <w:sz w:val="24"/>
              </w:rPr>
              <w:t>72</w:t>
            </w:r>
          </w:p>
        </w:tc>
        <w:tc>
          <w:tcPr>
            <w:tcW w:w="712" w:type="dxa"/>
            <w:vAlign w:val="center"/>
          </w:tcPr>
          <w:p>
            <w:pPr>
              <w:jc w:val="center"/>
              <w:rPr>
                <w:rFonts w:hint="eastAsia" w:asciiTheme="minorHAnsi" w:hAnsiTheme="minorHAnsi" w:eastAsiaTheme="minorEastAsia" w:cstheme="minorBidi"/>
                <w:szCs w:val="21"/>
              </w:rPr>
            </w:pPr>
            <w:r>
              <w:rPr>
                <w:rFonts w:hint="eastAsia" w:ascii="黑体" w:hAnsi="黑体" w:eastAsia="黑体"/>
                <w:color w:val="000000"/>
                <w:sz w:val="24"/>
              </w:rPr>
              <w:t>27</w:t>
            </w:r>
          </w:p>
        </w:tc>
        <w:tc>
          <w:tcPr>
            <w:tcW w:w="750" w:type="dxa"/>
            <w:vAlign w:val="center"/>
          </w:tcPr>
          <w:p>
            <w:pPr>
              <w:jc w:val="center"/>
              <w:rPr>
                <w:rFonts w:hint="eastAsia" w:asciiTheme="minorHAnsi" w:hAnsiTheme="minorHAnsi" w:eastAsiaTheme="minorEastAsia" w:cstheme="minorBidi"/>
                <w:szCs w:val="21"/>
              </w:rPr>
            </w:pPr>
            <w:r>
              <w:rPr>
                <w:rFonts w:hint="eastAsia" w:ascii="黑体" w:hAnsi="黑体" w:eastAsia="黑体"/>
                <w:color w:val="000000"/>
                <w:sz w:val="24"/>
              </w:rPr>
              <w:t>21</w:t>
            </w:r>
          </w:p>
        </w:tc>
        <w:tc>
          <w:tcPr>
            <w:tcW w:w="713" w:type="dxa"/>
            <w:vAlign w:val="center"/>
          </w:tcPr>
          <w:p>
            <w:pPr>
              <w:jc w:val="center"/>
              <w:rPr>
                <w:rFonts w:hint="eastAsia" w:asciiTheme="minorHAnsi" w:hAnsiTheme="minorHAnsi" w:eastAsiaTheme="minorEastAsia" w:cstheme="minorBidi"/>
                <w:szCs w:val="21"/>
              </w:rPr>
            </w:pPr>
            <w:r>
              <w:rPr>
                <w:rFonts w:hint="eastAsia" w:ascii="黑体" w:hAnsi="黑体" w:eastAsia="黑体"/>
                <w:color w:val="000000"/>
                <w:sz w:val="24"/>
              </w:rPr>
              <w:t>14</w:t>
            </w:r>
          </w:p>
        </w:tc>
        <w:tc>
          <w:tcPr>
            <w:tcW w:w="769" w:type="dxa"/>
            <w:vAlign w:val="center"/>
          </w:tcPr>
          <w:p>
            <w:pPr>
              <w:jc w:val="center"/>
              <w:rPr>
                <w:rFonts w:hint="eastAsia" w:asciiTheme="minorHAnsi" w:hAnsiTheme="minorHAnsi" w:eastAsiaTheme="minorEastAsia" w:cstheme="minorBidi"/>
                <w:szCs w:val="21"/>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1"/>
              </w:rPr>
            </w:pPr>
            <w:r>
              <w:rPr>
                <w:rFonts w:hint="eastAsia" w:ascii="黑体" w:hAnsi="黑体" w:eastAsia="黑体"/>
                <w:color w:val="000000"/>
                <w:sz w:val="24"/>
              </w:rPr>
              <w:t>1357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093" w:type="dxa"/>
            <w:gridSpan w:val="3"/>
          </w:tcPr>
          <w:p>
            <w:pPr>
              <w:rPr>
                <w:rFonts w:hint="eastAsia" w:asciiTheme="minorHAnsi" w:hAnsiTheme="minorHAnsi" w:eastAsiaTheme="minorEastAsia" w:cstheme="minorBidi"/>
                <w:b/>
                <w:bCs/>
                <w:szCs w:val="22"/>
              </w:rPr>
            </w:pPr>
            <w:r>
              <w:rPr>
                <w:rFonts w:hint="eastAsia" w:asciiTheme="minorHAnsi" w:hAnsiTheme="minorHAnsi" w:eastAsiaTheme="minorEastAsia" w:cstheme="minorBidi"/>
                <w:b/>
                <w:bCs/>
                <w:szCs w:val="22"/>
              </w:rPr>
              <w:t>二、上年结转政府信息公开申请数量</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33</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67" w:type="dxa"/>
            <w:vMerge w:val="restart"/>
            <w:vAlign w:val="center"/>
          </w:tcPr>
          <w:p>
            <w:pPr>
              <w:jc w:val="both"/>
              <w:rPr>
                <w:rFonts w:hint="eastAsia" w:asciiTheme="minorHAnsi" w:hAnsiTheme="minorHAnsi" w:eastAsiaTheme="minorEastAsia" w:cstheme="minorBidi"/>
                <w:b/>
                <w:bCs/>
                <w:szCs w:val="22"/>
              </w:rPr>
            </w:pPr>
            <w:r>
              <w:rPr>
                <w:rFonts w:hint="eastAsia" w:asciiTheme="minorHAnsi" w:hAnsiTheme="minorHAnsi" w:eastAsiaTheme="minorEastAsia" w:cstheme="minorBidi"/>
                <w:b/>
                <w:bCs/>
                <w:szCs w:val="22"/>
              </w:rPr>
              <w:t>三、本年度办理结果</w:t>
            </w:r>
          </w:p>
        </w:tc>
        <w:tc>
          <w:tcPr>
            <w:tcW w:w="3526" w:type="dxa"/>
            <w:gridSpan w:val="2"/>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（一）予以公开</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477</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9</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9</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9</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67" w:type="dxa"/>
            <w:vMerge w:val="continue"/>
          </w:tcPr>
          <w:p>
            <w:pPr>
              <w:rPr>
                <w:rFonts w:hint="eastAsia" w:asciiTheme="minorHAnsi" w:hAnsiTheme="minorHAnsi" w:eastAsiaTheme="minorEastAsia" w:cstheme="minorBidi"/>
                <w:b/>
                <w:bCs/>
                <w:szCs w:val="22"/>
              </w:rPr>
            </w:pPr>
          </w:p>
        </w:tc>
        <w:tc>
          <w:tcPr>
            <w:tcW w:w="3526" w:type="dxa"/>
            <w:gridSpan w:val="2"/>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（二）部分公开（区分处理的，只计这一情形，不计其他情形）</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108</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2</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restart"/>
            <w:vAlign w:val="center"/>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（三）不予公开</w:t>
            </w:r>
          </w:p>
        </w:tc>
        <w:tc>
          <w:tcPr>
            <w:tcW w:w="2756" w:type="dxa"/>
          </w:tcPr>
          <w:p>
            <w:pPr>
              <w:rPr>
                <w:rFonts w:asciiTheme="minorEastAsia" w:hAnsiTheme="minorEastAsia" w:eastAsiaTheme="minorEastAsia" w:cstheme="minorBidi"/>
                <w:b/>
                <w:bCs/>
                <w:sz w:val="18"/>
                <w:szCs w:val="18"/>
              </w:rPr>
            </w:pPr>
            <w:r>
              <w:rPr>
                <w:rFonts w:asciiTheme="minorEastAsia" w:hAnsiTheme="minorEastAsia" w:eastAsiaTheme="minorEastAsia" w:cstheme="minorBidi"/>
                <w:b/>
                <w:bCs/>
                <w:sz w:val="18"/>
                <w:szCs w:val="18"/>
              </w:rPr>
              <w:t>1</w:t>
            </w:r>
            <w:r>
              <w:rPr>
                <w:rFonts w:hint="eastAsia" w:asciiTheme="minorEastAsia" w:hAnsiTheme="minorEastAsia" w:eastAsiaTheme="minorEastAsia" w:cstheme="minorBidi"/>
                <w:b/>
                <w:bCs/>
                <w:sz w:val="18"/>
                <w:szCs w:val="18"/>
              </w:rPr>
              <w:t>．属于国家秘密</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3</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vAlign w:val="center"/>
          </w:tcPr>
          <w:p>
            <w:pPr>
              <w:rPr>
                <w:rFonts w:asciiTheme="minorEastAsia" w:hAnsiTheme="minorEastAsia" w:eastAsiaTheme="minorEastAsia" w:cstheme="minorBidi"/>
                <w:b/>
                <w:bCs/>
                <w:sz w:val="18"/>
                <w:szCs w:val="18"/>
              </w:rPr>
            </w:pP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2．其他法律行政法规禁止公开</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17</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vAlign w:val="center"/>
          </w:tcPr>
          <w:p>
            <w:pPr>
              <w:rPr>
                <w:rFonts w:hint="eastAsia" w:asciiTheme="minorHAnsi" w:hAnsiTheme="minorHAnsi" w:eastAsiaTheme="minorEastAsia" w:cstheme="minorBidi"/>
                <w:b/>
                <w:bCs/>
                <w:sz w:val="18"/>
                <w:szCs w:val="18"/>
              </w:rPr>
            </w:pP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3．危及“三安全一稳定”</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vAlign w:val="center"/>
          </w:tcPr>
          <w:p>
            <w:pPr>
              <w:rPr>
                <w:rFonts w:hint="eastAsia" w:asciiTheme="minorHAnsi" w:hAnsiTheme="minorHAnsi" w:eastAsiaTheme="minorEastAsia" w:cstheme="minorBidi"/>
                <w:b/>
                <w:bCs/>
                <w:sz w:val="18"/>
                <w:szCs w:val="18"/>
              </w:rPr>
            </w:pP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4．保护第三方合法权益</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5</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2</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vAlign w:val="center"/>
          </w:tcPr>
          <w:p>
            <w:pPr>
              <w:rPr>
                <w:rFonts w:hint="eastAsia" w:asciiTheme="minorHAnsi" w:hAnsiTheme="minorHAnsi" w:eastAsiaTheme="minorEastAsia" w:cstheme="minorBidi"/>
                <w:b/>
                <w:bCs/>
                <w:sz w:val="18"/>
                <w:szCs w:val="18"/>
              </w:rPr>
            </w:pP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5．属于三类内部事务信息</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22</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vAlign w:val="center"/>
          </w:tcPr>
          <w:p>
            <w:pPr>
              <w:rPr>
                <w:rFonts w:hint="eastAsia" w:asciiTheme="minorHAnsi" w:hAnsiTheme="minorHAnsi" w:eastAsiaTheme="minorEastAsia" w:cstheme="minorBidi"/>
                <w:b/>
                <w:bCs/>
                <w:sz w:val="18"/>
                <w:szCs w:val="18"/>
              </w:rPr>
            </w:pP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6．属于四类过程性信息</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5</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vAlign w:val="center"/>
          </w:tcPr>
          <w:p>
            <w:pPr>
              <w:rPr>
                <w:rFonts w:hint="eastAsia" w:asciiTheme="minorHAnsi" w:hAnsiTheme="minorHAnsi" w:eastAsiaTheme="minorEastAsia" w:cstheme="minorBidi"/>
                <w:b/>
                <w:bCs/>
                <w:sz w:val="18"/>
                <w:szCs w:val="18"/>
              </w:rPr>
            </w:pP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7．属于行政执法案卷</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6</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vAlign w:val="center"/>
          </w:tcPr>
          <w:p>
            <w:pPr>
              <w:rPr>
                <w:rFonts w:hint="eastAsia" w:asciiTheme="minorHAnsi" w:hAnsiTheme="minorHAnsi" w:eastAsiaTheme="minorEastAsia" w:cstheme="minorBidi"/>
                <w:b/>
                <w:bCs/>
                <w:sz w:val="18"/>
                <w:szCs w:val="18"/>
              </w:rPr>
            </w:pP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8．属于行政查询事项</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20</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31</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restart"/>
            <w:vAlign w:val="center"/>
          </w:tcPr>
          <w:p>
            <w:pPr>
              <w:rPr>
                <w:rFonts w:hint="eastAsia" w:asciiTheme="minorHAnsi" w:hAnsiTheme="minorHAnsi" w:eastAsiaTheme="minorEastAsia" w:cstheme="minorBidi"/>
                <w:b/>
                <w:bCs/>
                <w:sz w:val="18"/>
                <w:szCs w:val="18"/>
              </w:rPr>
            </w:pPr>
            <w:r>
              <w:rPr>
                <w:rFonts w:hint="eastAsia" w:asciiTheme="minorHAnsi" w:hAnsiTheme="minorHAnsi" w:eastAsiaTheme="minorEastAsia" w:cstheme="minorBidi"/>
                <w:b/>
                <w:bCs/>
                <w:sz w:val="18"/>
                <w:szCs w:val="18"/>
              </w:rPr>
              <w:t>（四）无法提供</w:t>
            </w: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1．本机关不掌握相关政府信息</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378</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17</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8</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vAlign w:val="center"/>
          </w:tcPr>
          <w:p>
            <w:pPr>
              <w:rPr>
                <w:rFonts w:hint="eastAsia" w:asciiTheme="minorHAnsi" w:hAnsiTheme="minorHAnsi" w:eastAsiaTheme="minorEastAsia" w:cstheme="minorBidi"/>
                <w:b/>
                <w:bCs/>
                <w:sz w:val="18"/>
                <w:szCs w:val="18"/>
              </w:rPr>
            </w:pP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2．没有现成信息需要另行制作</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50</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2</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vAlign w:val="center"/>
          </w:tcPr>
          <w:p>
            <w:pPr>
              <w:rPr>
                <w:rFonts w:hint="eastAsia" w:asciiTheme="minorHAnsi" w:hAnsiTheme="minorHAnsi" w:eastAsiaTheme="minorEastAsia" w:cstheme="minorBidi"/>
                <w:b/>
                <w:bCs/>
                <w:sz w:val="18"/>
                <w:szCs w:val="18"/>
              </w:rPr>
            </w:pP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3．补正后申请内容仍不明确</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3</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restart"/>
            <w:vAlign w:val="center"/>
          </w:tcPr>
          <w:p>
            <w:pPr>
              <w:rPr>
                <w:rFonts w:hint="eastAsia" w:asciiTheme="minorHAnsi" w:hAnsiTheme="minorHAnsi" w:eastAsiaTheme="minorEastAsia" w:cstheme="minorBidi"/>
                <w:b/>
                <w:bCs/>
                <w:sz w:val="18"/>
                <w:szCs w:val="18"/>
              </w:rPr>
            </w:pPr>
            <w:r>
              <w:rPr>
                <w:rFonts w:hint="eastAsia" w:asciiTheme="minorHAnsi" w:hAnsiTheme="minorHAnsi" w:eastAsiaTheme="minorEastAsia" w:cstheme="minorBidi"/>
                <w:b/>
                <w:bCs/>
                <w:sz w:val="18"/>
                <w:szCs w:val="18"/>
              </w:rPr>
              <w:t>（五）</w:t>
            </w:r>
            <w:r>
              <w:rPr>
                <w:rFonts w:hint="eastAsia" w:asciiTheme="minorEastAsia" w:hAnsiTheme="minorEastAsia" w:eastAsiaTheme="minorEastAsia" w:cstheme="minorBidi"/>
                <w:b/>
                <w:bCs/>
                <w:sz w:val="18"/>
                <w:szCs w:val="18"/>
              </w:rPr>
              <w:t>不予处理</w:t>
            </w: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1．信访举报投诉类申请</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3</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tcPr>
          <w:p>
            <w:pPr>
              <w:rPr>
                <w:rFonts w:hint="eastAsia" w:asciiTheme="minorHAnsi" w:hAnsiTheme="minorHAnsi" w:eastAsiaTheme="minorEastAsia" w:cstheme="minorBidi"/>
                <w:b/>
                <w:bCs/>
                <w:szCs w:val="22"/>
              </w:rPr>
            </w:pP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2．重复申请</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9</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tcPr>
          <w:p>
            <w:pPr>
              <w:rPr>
                <w:rFonts w:hint="eastAsia" w:asciiTheme="minorHAnsi" w:hAnsiTheme="minorHAnsi" w:eastAsiaTheme="minorEastAsia" w:cstheme="minorBidi"/>
                <w:b/>
                <w:bCs/>
                <w:szCs w:val="22"/>
              </w:rPr>
            </w:pPr>
          </w:p>
        </w:tc>
        <w:tc>
          <w:tcPr>
            <w:tcW w:w="2756" w:type="dxa"/>
          </w:tcPr>
          <w:p>
            <w:pPr>
              <w:rPr>
                <w:rFonts w:asciiTheme="minorEastAsia" w:hAnsiTheme="minorEastAsia" w:eastAsiaTheme="minorEastAsia" w:cstheme="minorBidi"/>
                <w:b/>
                <w:bCs/>
                <w:sz w:val="18"/>
                <w:szCs w:val="18"/>
              </w:rPr>
            </w:pPr>
            <w:r>
              <w:rPr>
                <w:rFonts w:asciiTheme="minorEastAsia" w:hAnsiTheme="minorEastAsia" w:eastAsiaTheme="minorEastAsia" w:cstheme="minorBidi"/>
                <w:b/>
                <w:bCs/>
                <w:sz w:val="18"/>
                <w:szCs w:val="18"/>
              </w:rPr>
              <w:t>3</w:t>
            </w:r>
            <w:r>
              <w:rPr>
                <w:rFonts w:hint="eastAsia" w:asciiTheme="minorEastAsia" w:hAnsiTheme="minorEastAsia" w:eastAsiaTheme="minorEastAsia" w:cstheme="minorBidi"/>
                <w:b/>
                <w:bCs/>
                <w:sz w:val="18"/>
                <w:szCs w:val="18"/>
              </w:rPr>
              <w:t>．要求提供公开出版物</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tcPr>
          <w:p>
            <w:pPr>
              <w:rPr>
                <w:rFonts w:hint="eastAsia" w:asciiTheme="minorHAnsi" w:hAnsiTheme="minorHAnsi" w:eastAsiaTheme="minorEastAsia" w:cstheme="minorBidi"/>
                <w:b/>
                <w:bCs/>
                <w:szCs w:val="22"/>
              </w:rPr>
            </w:pPr>
          </w:p>
        </w:tc>
        <w:tc>
          <w:tcPr>
            <w:tcW w:w="2756" w:type="dxa"/>
          </w:tcPr>
          <w:p>
            <w:pPr>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4．无正当理由大量反复申请</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67" w:type="dxa"/>
            <w:vMerge w:val="continue"/>
          </w:tcPr>
          <w:p>
            <w:pPr>
              <w:rPr>
                <w:rFonts w:hint="eastAsia" w:asciiTheme="minorHAnsi" w:hAnsiTheme="minorHAnsi" w:eastAsiaTheme="minorEastAsia" w:cstheme="minorBidi"/>
                <w:b/>
                <w:bCs/>
                <w:szCs w:val="22"/>
              </w:rPr>
            </w:pPr>
          </w:p>
        </w:tc>
        <w:tc>
          <w:tcPr>
            <w:tcW w:w="770" w:type="dxa"/>
            <w:vMerge w:val="continue"/>
          </w:tcPr>
          <w:p>
            <w:pPr>
              <w:rPr>
                <w:rFonts w:hint="eastAsia" w:asciiTheme="minorHAnsi" w:hAnsiTheme="minorHAnsi" w:eastAsiaTheme="minorEastAsia" w:cstheme="minorBidi"/>
                <w:b/>
                <w:bCs/>
                <w:szCs w:val="22"/>
              </w:rPr>
            </w:pPr>
          </w:p>
        </w:tc>
        <w:tc>
          <w:tcPr>
            <w:tcW w:w="2756" w:type="dxa"/>
          </w:tcPr>
          <w:p>
            <w:pPr>
              <w:ind w:left="180" w:hanging="181" w:hangingChars="100"/>
              <w:rPr>
                <w:rFonts w:asciiTheme="minorEastAsia" w:hAnsiTheme="minorEastAsia" w:eastAsiaTheme="minorEastAsia" w:cstheme="minorBidi"/>
                <w:b/>
                <w:bCs/>
                <w:sz w:val="18"/>
                <w:szCs w:val="18"/>
              </w:rPr>
            </w:pPr>
            <w:r>
              <w:rPr>
                <w:rFonts w:hint="eastAsia" w:asciiTheme="minorEastAsia" w:hAnsiTheme="minorEastAsia" w:eastAsiaTheme="minorEastAsia" w:cstheme="minorBidi"/>
                <w:b/>
                <w:bCs/>
                <w:sz w:val="18"/>
                <w:szCs w:val="18"/>
              </w:rPr>
              <w:t>5．要求行政机关确认或重新出具已获取信息</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567" w:type="dxa"/>
            <w:vMerge w:val="continue"/>
          </w:tcPr>
          <w:p>
            <w:pPr>
              <w:rPr>
                <w:rFonts w:hint="eastAsia" w:asciiTheme="minorHAnsi" w:hAnsiTheme="minorHAnsi" w:eastAsiaTheme="minorEastAsia" w:cstheme="minorBidi"/>
                <w:b/>
                <w:bCs/>
                <w:szCs w:val="22"/>
              </w:rPr>
            </w:pPr>
          </w:p>
        </w:tc>
        <w:tc>
          <w:tcPr>
            <w:tcW w:w="3526" w:type="dxa"/>
            <w:gridSpan w:val="2"/>
            <w:vAlign w:val="center"/>
          </w:tcPr>
          <w:p>
            <w:pPr>
              <w:rPr>
                <w:rFonts w:hint="eastAsia" w:asciiTheme="minorHAnsi" w:hAnsiTheme="minorHAnsi" w:eastAsiaTheme="minorEastAsia" w:cstheme="minorBidi"/>
                <w:b/>
                <w:bCs/>
                <w:sz w:val="18"/>
                <w:szCs w:val="18"/>
              </w:rPr>
            </w:pPr>
            <w:r>
              <w:rPr>
                <w:rFonts w:hint="eastAsia" w:asciiTheme="minorHAnsi" w:hAnsiTheme="minorHAnsi" w:eastAsiaTheme="minorEastAsia" w:cstheme="minorBidi"/>
                <w:b/>
                <w:bCs/>
                <w:sz w:val="18"/>
                <w:szCs w:val="18"/>
              </w:rPr>
              <w:t>（六）其他处理</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139</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567" w:type="dxa"/>
            <w:vMerge w:val="continue"/>
          </w:tcPr>
          <w:p>
            <w:pPr>
              <w:rPr>
                <w:rFonts w:hint="eastAsia" w:asciiTheme="minorHAnsi" w:hAnsiTheme="minorHAnsi" w:eastAsiaTheme="minorEastAsia" w:cstheme="minorBidi"/>
                <w:b/>
                <w:bCs/>
                <w:szCs w:val="22"/>
              </w:rPr>
            </w:pPr>
          </w:p>
        </w:tc>
        <w:tc>
          <w:tcPr>
            <w:tcW w:w="3526" w:type="dxa"/>
            <w:gridSpan w:val="2"/>
            <w:vAlign w:val="center"/>
          </w:tcPr>
          <w:p>
            <w:pPr>
              <w:rPr>
                <w:rFonts w:hint="eastAsia" w:asciiTheme="minorHAnsi" w:hAnsiTheme="minorHAnsi" w:eastAsiaTheme="minorEastAsia" w:cstheme="minorBidi"/>
                <w:b/>
                <w:bCs/>
                <w:sz w:val="18"/>
                <w:szCs w:val="18"/>
              </w:rPr>
            </w:pPr>
            <w:r>
              <w:rPr>
                <w:rFonts w:hint="eastAsia" w:asciiTheme="minorHAnsi" w:hAnsiTheme="minorHAnsi" w:eastAsiaTheme="minorEastAsia" w:cstheme="minorBidi"/>
                <w:b/>
                <w:bCs/>
                <w:sz w:val="18"/>
                <w:szCs w:val="18"/>
              </w:rPr>
              <w:t>（七）总计</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1246</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64</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27</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21</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14</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eastAsia="黑体" w:asciiTheme="minorHAnsi" w:hAnsiTheme="minorHAnsi" w:cstheme="minorBidi"/>
                <w:szCs w:val="22"/>
                <w:lang w:val="en-US" w:eastAsia="zh-CN"/>
              </w:rPr>
            </w:pPr>
            <w:r>
              <w:rPr>
                <w:rFonts w:hint="eastAsia" w:ascii="黑体" w:hAnsi="黑体" w:eastAsia="黑体"/>
                <w:color w:val="000000"/>
                <w:sz w:val="24"/>
              </w:rPr>
              <w:t>1372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093" w:type="dxa"/>
            <w:gridSpan w:val="3"/>
            <w:vAlign w:val="center"/>
          </w:tcPr>
          <w:p>
            <w:pPr>
              <w:rPr>
                <w:rFonts w:hint="eastAsia" w:asciiTheme="minorHAnsi" w:hAnsiTheme="minorHAnsi" w:eastAsiaTheme="minorEastAsia" w:cstheme="minorBidi"/>
                <w:b/>
                <w:bCs/>
                <w:szCs w:val="22"/>
              </w:rPr>
            </w:pPr>
            <w:r>
              <w:rPr>
                <w:rFonts w:hint="eastAsia" w:asciiTheme="minorHAnsi" w:hAnsiTheme="minorHAnsi" w:eastAsiaTheme="minorEastAsia" w:cstheme="minorBidi"/>
                <w:b/>
                <w:bCs/>
                <w:szCs w:val="22"/>
              </w:rPr>
              <w:t>四、结转下年度继续办理</w:t>
            </w:r>
          </w:p>
        </w:tc>
        <w:tc>
          <w:tcPr>
            <w:tcW w:w="994"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10</w:t>
            </w:r>
          </w:p>
        </w:tc>
        <w:tc>
          <w:tcPr>
            <w:tcW w:w="90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8</w:t>
            </w:r>
          </w:p>
        </w:tc>
        <w:tc>
          <w:tcPr>
            <w:tcW w:w="712"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50"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13"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76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0</w:t>
            </w:r>
          </w:p>
        </w:tc>
        <w:tc>
          <w:tcPr>
            <w:tcW w:w="849" w:type="dxa"/>
            <w:vAlign w:val="center"/>
          </w:tcPr>
          <w:p>
            <w:pPr>
              <w:jc w:val="center"/>
              <w:rPr>
                <w:rFonts w:hint="eastAsia" w:asciiTheme="minorHAnsi" w:hAnsiTheme="minorHAnsi" w:eastAsiaTheme="minorEastAsia" w:cstheme="minorBidi"/>
                <w:szCs w:val="22"/>
              </w:rPr>
            </w:pPr>
            <w:r>
              <w:rPr>
                <w:rFonts w:hint="eastAsia" w:ascii="黑体" w:hAnsi="黑体" w:eastAsia="黑体"/>
                <w:color w:val="000000"/>
                <w:sz w:val="24"/>
              </w:rPr>
              <w:t>18</w:t>
            </w:r>
          </w:p>
        </w:tc>
      </w:tr>
    </w:tbl>
    <w:p>
      <w:pPr>
        <w:ind w:firstLine="640" w:firstLineChars="200"/>
        <w:rPr>
          <w:rFonts w:hint="eastAsia" w:asciiTheme="majorEastAsia" w:hAnsiTheme="majorEastAsia" w:eastAsiaTheme="majorEastAsia" w:cstheme="majorEastAsia"/>
          <w:b/>
          <w:bCs/>
          <w:sz w:val="36"/>
          <w:szCs w:val="36"/>
        </w:rPr>
      </w:pPr>
      <w:r>
        <w:rPr>
          <w:rFonts w:hint="default" w:ascii="仿宋" w:hAnsi="仿宋" w:eastAsia="仿宋" w:cs="仿宋"/>
          <w:sz w:val="32"/>
          <w:szCs w:val="32"/>
          <w:lang w:val="en-US" w:eastAsia="zh-CN"/>
        </w:rPr>
        <w:drawing>
          <wp:anchor distT="0" distB="0" distL="114300" distR="114300" simplePos="0" relativeHeight="254202880" behindDoc="1" locked="0" layoutInCell="1" allowOverlap="1">
            <wp:simplePos x="0" y="0"/>
            <wp:positionH relativeFrom="column">
              <wp:posOffset>3106420</wp:posOffset>
            </wp:positionH>
            <wp:positionV relativeFrom="paragraph">
              <wp:posOffset>2395220</wp:posOffset>
            </wp:positionV>
            <wp:extent cx="2849880" cy="3472180"/>
            <wp:effectExtent l="6350" t="6350" r="20320" b="7620"/>
            <wp:wrapTight wrapText="bothSides">
              <wp:wrapPolygon>
                <wp:start x="-48" y="-40"/>
                <wp:lineTo x="-48" y="21529"/>
                <wp:lineTo x="21465" y="21529"/>
                <wp:lineTo x="21465" y="-40"/>
                <wp:lineTo x="-48" y="-40"/>
              </wp:wrapPolygon>
            </wp:wrapTight>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Pr>
          <w:rFonts w:hint="eastAsia" w:ascii="仿宋" w:hAnsi="仿宋" w:eastAsia="仿宋" w:cs="仿宋"/>
          <w:sz w:val="32"/>
          <w:szCs w:val="32"/>
        </w:rPr>
        <w:drawing>
          <wp:anchor distT="0" distB="0" distL="114300" distR="114300" simplePos="0" relativeHeight="259295232" behindDoc="1" locked="0" layoutInCell="1" allowOverlap="1">
            <wp:simplePos x="0" y="0"/>
            <wp:positionH relativeFrom="column">
              <wp:posOffset>77470</wp:posOffset>
            </wp:positionH>
            <wp:positionV relativeFrom="page">
              <wp:posOffset>7033895</wp:posOffset>
            </wp:positionV>
            <wp:extent cx="5867400" cy="2587625"/>
            <wp:effectExtent l="6350" t="6350" r="12700" b="15875"/>
            <wp:wrapTight wrapText="bothSides">
              <wp:wrapPolygon>
                <wp:start x="-23" y="-53"/>
                <wp:lineTo x="-23" y="21573"/>
                <wp:lineTo x="21577" y="21573"/>
                <wp:lineTo x="21577" y="-53"/>
                <wp:lineTo x="-23" y="-53"/>
              </wp:wrapPolygon>
            </wp:wrapTight>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Pr>
          <w:rFonts w:hint="default" w:ascii="仿宋" w:hAnsi="仿宋" w:eastAsia="仿宋" w:cs="仿宋"/>
          <w:sz w:val="32"/>
          <w:szCs w:val="32"/>
          <w:lang w:val="en-US" w:eastAsia="zh-CN"/>
        </w:rPr>
        <w:drawing>
          <wp:anchor distT="0" distB="0" distL="114300" distR="114300" simplePos="0" relativeHeight="252930048" behindDoc="1" locked="0" layoutInCell="1" allowOverlap="1">
            <wp:simplePos x="0" y="0"/>
            <wp:positionH relativeFrom="column">
              <wp:posOffset>92075</wp:posOffset>
            </wp:positionH>
            <wp:positionV relativeFrom="paragraph">
              <wp:posOffset>2371090</wp:posOffset>
            </wp:positionV>
            <wp:extent cx="2849880" cy="3502025"/>
            <wp:effectExtent l="6350" t="6350" r="20320" b="73025"/>
            <wp:wrapTight wrapText="bothSides">
              <wp:wrapPolygon>
                <wp:start x="-48" y="-39"/>
                <wp:lineTo x="-48" y="21580"/>
                <wp:lineTo x="21465" y="21580"/>
                <wp:lineTo x="21465" y="-39"/>
                <wp:lineTo x="-48" y="-39"/>
              </wp:wrapPolygon>
            </wp:wrapTight>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rFonts w:hint="eastAsia" w:ascii="仿宋" w:hAnsi="仿宋" w:eastAsia="仿宋" w:cs="仿宋"/>
          <w:sz w:val="32"/>
          <w:szCs w:val="32"/>
          <w:lang w:val="en-US" w:eastAsia="zh-CN"/>
        </w:rPr>
        <w:t>2019年</w:t>
      </w:r>
      <w:r>
        <w:rPr>
          <w:rFonts w:hint="eastAsia" w:ascii="仿宋" w:hAnsi="仿宋" w:eastAsia="仿宋" w:cs="仿宋"/>
          <w:sz w:val="32"/>
          <w:szCs w:val="32"/>
        </w:rPr>
        <w:t>，全市各级共受理政府信息公开申请</w:t>
      </w:r>
      <w:r>
        <w:rPr>
          <w:rFonts w:hint="eastAsia" w:ascii="仿宋" w:hAnsi="仿宋" w:eastAsia="仿宋" w:cs="仿宋"/>
          <w:sz w:val="32"/>
          <w:szCs w:val="32"/>
          <w:lang w:val="en-US" w:eastAsia="zh-CN"/>
        </w:rPr>
        <w:t>1357</w:t>
      </w:r>
      <w:r>
        <w:rPr>
          <w:rFonts w:hint="eastAsia" w:ascii="仿宋" w:hAnsi="仿宋" w:eastAsia="仿宋" w:cs="仿宋"/>
          <w:sz w:val="32"/>
          <w:szCs w:val="32"/>
        </w:rPr>
        <w:t>件，</w:t>
      </w:r>
      <w:r>
        <w:rPr>
          <w:rFonts w:hint="eastAsia" w:ascii="仿宋" w:hAnsi="仿宋" w:eastAsia="仿宋" w:cs="仿宋"/>
          <w:sz w:val="32"/>
          <w:szCs w:val="32"/>
          <w:lang w:val="en-US" w:eastAsia="zh-CN"/>
        </w:rPr>
        <w:t>结转上年度政府信息公开申请33件，</w:t>
      </w:r>
      <w:r>
        <w:rPr>
          <w:rFonts w:hint="eastAsia" w:ascii="仿宋" w:hAnsi="仿宋" w:eastAsia="仿宋" w:cs="仿宋"/>
          <w:sz w:val="32"/>
          <w:szCs w:val="32"/>
          <w:lang w:eastAsia="zh-CN"/>
        </w:rPr>
        <w:t>完成答复</w:t>
      </w:r>
      <w:r>
        <w:rPr>
          <w:rFonts w:hint="eastAsia" w:ascii="仿宋" w:hAnsi="仿宋" w:eastAsia="仿宋" w:cs="仿宋"/>
          <w:sz w:val="32"/>
          <w:szCs w:val="32"/>
          <w:lang w:val="en-US" w:eastAsia="zh-CN"/>
        </w:rPr>
        <w:t>1372件，结转下年度继续办理18件。市政府工作部门中，2019年度新收政府信息公开申请数量列前5位分别为自然资源局、住房城乡建设局、生态环境局、发展改革委、人力资源社会保障局。区县政府中，2019年度新收政府信息公开申请数量列前3位分别为临淄区、张店区、桓台县。</w:t>
      </w:r>
      <w:r>
        <w:rPr>
          <w:rFonts w:hint="eastAsia" w:asciiTheme="majorEastAsia" w:hAnsiTheme="majorEastAsia" w:eastAsiaTheme="majorEastAsia" w:cstheme="majorEastAsia"/>
          <w:b/>
          <w:bCs/>
          <w:sz w:val="36"/>
          <w:szCs w:val="36"/>
        </w:rPr>
        <w:br w:type="page"/>
      </w:r>
    </w:p>
    <w:p>
      <w:pPr>
        <w:spacing w:before="156" w:beforeLines="50" w:after="156" w:afterLines="5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四、政府信息公开行政复议、行政诉讼情况</w:t>
      </w:r>
    </w:p>
    <w:p>
      <w:pPr>
        <w:keepNext w:val="0"/>
        <w:keepLines w:val="0"/>
        <w:pageBreakBefore w:val="0"/>
        <w:widowControl w:val="0"/>
        <w:kinsoku/>
        <w:wordWrap/>
        <w:overflowPunct/>
        <w:topLinePunct w:val="0"/>
        <w:autoSpaceDE/>
        <w:autoSpaceDN/>
        <w:bidi w:val="0"/>
        <w:adjustRightInd/>
        <w:snapToGrid/>
        <w:spacing w:line="240" w:lineRule="atLeast"/>
        <w:ind w:firstLine="640" w:firstLineChars="200"/>
        <w:textAlignment w:val="auto"/>
        <w:rPr>
          <w:rFonts w:ascii="仿宋" w:hAnsi="仿宋" w:eastAsia="仿宋" w:cs="仿宋"/>
          <w:sz w:val="32"/>
          <w:szCs w:val="32"/>
        </w:rPr>
      </w:pPr>
      <w:r>
        <w:rPr>
          <w:rFonts w:hint="eastAsia" w:ascii="仿宋" w:hAnsi="仿宋" w:eastAsia="仿宋" w:cs="仿宋"/>
          <w:sz w:val="32"/>
          <w:szCs w:val="32"/>
          <w:lang w:val="en-US" w:eastAsia="zh-CN"/>
        </w:rPr>
        <w:t>2019年度全市各级行政机关、单位因政府信息公开</w:t>
      </w:r>
      <w:r>
        <w:rPr>
          <w:rFonts w:hint="eastAsia" w:ascii="仿宋" w:hAnsi="仿宋" w:eastAsia="仿宋" w:cs="仿宋"/>
          <w:sz w:val="32"/>
          <w:szCs w:val="32"/>
        </w:rPr>
        <w:t>被提起行政复议</w:t>
      </w:r>
      <w:r>
        <w:rPr>
          <w:rFonts w:hint="eastAsia" w:ascii="仿宋" w:hAnsi="仿宋" w:eastAsia="仿宋" w:cs="仿宋"/>
          <w:sz w:val="32"/>
          <w:szCs w:val="32"/>
          <w:lang w:val="en-US" w:eastAsia="zh-CN"/>
        </w:rPr>
        <w:t>73</w:t>
      </w:r>
      <w:r>
        <w:rPr>
          <w:rFonts w:hint="eastAsia" w:ascii="仿宋" w:hAnsi="仿宋" w:eastAsia="仿宋" w:cs="仿宋"/>
          <w:sz w:val="32"/>
          <w:szCs w:val="32"/>
        </w:rPr>
        <w:t>件，被纠错</w:t>
      </w:r>
      <w:r>
        <w:rPr>
          <w:rFonts w:hint="eastAsia" w:ascii="仿宋" w:hAnsi="仿宋" w:eastAsia="仿宋" w:cs="仿宋"/>
          <w:sz w:val="32"/>
          <w:szCs w:val="32"/>
          <w:lang w:val="en-US" w:eastAsia="zh-CN"/>
        </w:rPr>
        <w:t>27</w:t>
      </w:r>
      <w:r>
        <w:rPr>
          <w:rFonts w:hint="eastAsia" w:ascii="仿宋" w:hAnsi="仿宋" w:eastAsia="仿宋" w:cs="仿宋"/>
          <w:sz w:val="32"/>
          <w:szCs w:val="32"/>
        </w:rPr>
        <w:t>件；被提起行政诉讼</w:t>
      </w:r>
      <w:r>
        <w:rPr>
          <w:rFonts w:hint="eastAsia" w:ascii="仿宋" w:hAnsi="仿宋" w:eastAsia="仿宋" w:cs="仿宋"/>
          <w:sz w:val="32"/>
          <w:szCs w:val="32"/>
          <w:lang w:val="en-US" w:eastAsia="zh-CN"/>
        </w:rPr>
        <w:t>59</w:t>
      </w:r>
      <w:r>
        <w:rPr>
          <w:rFonts w:hint="eastAsia" w:ascii="仿宋" w:hAnsi="仿宋" w:eastAsia="仿宋" w:cs="仿宋"/>
          <w:sz w:val="32"/>
          <w:szCs w:val="32"/>
        </w:rPr>
        <w:t>件，被纠错</w:t>
      </w:r>
      <w:r>
        <w:rPr>
          <w:rFonts w:hint="eastAsia" w:ascii="仿宋" w:hAnsi="仿宋" w:eastAsia="仿宋" w:cs="仿宋"/>
          <w:sz w:val="32"/>
          <w:szCs w:val="32"/>
          <w:lang w:val="en-US" w:eastAsia="zh-CN"/>
        </w:rPr>
        <w:t>7</w:t>
      </w:r>
      <w:r>
        <w:rPr>
          <w:rFonts w:hint="eastAsia" w:ascii="仿宋" w:hAnsi="仿宋" w:eastAsia="仿宋" w:cs="仿宋"/>
          <w:sz w:val="32"/>
          <w:szCs w:val="32"/>
        </w:rPr>
        <w:t>件。市政府受理政府信息公开申请</w:t>
      </w:r>
      <w:r>
        <w:rPr>
          <w:rFonts w:hint="eastAsia" w:ascii="仿宋" w:hAnsi="仿宋" w:eastAsia="仿宋" w:cs="仿宋"/>
          <w:sz w:val="32"/>
          <w:szCs w:val="32"/>
          <w:lang w:val="en-US" w:eastAsia="zh-CN"/>
        </w:rPr>
        <w:t>126</w:t>
      </w:r>
      <w:r>
        <w:rPr>
          <w:rFonts w:hint="eastAsia" w:ascii="仿宋" w:hAnsi="仿宋" w:eastAsia="仿宋" w:cs="仿宋"/>
          <w:sz w:val="32"/>
          <w:szCs w:val="32"/>
        </w:rPr>
        <w:t>件，其中被提起行政复议</w:t>
      </w:r>
      <w:r>
        <w:rPr>
          <w:rFonts w:hint="eastAsia" w:ascii="仿宋" w:hAnsi="仿宋" w:eastAsia="仿宋" w:cs="仿宋"/>
          <w:sz w:val="32"/>
          <w:szCs w:val="32"/>
          <w:lang w:val="en-US" w:eastAsia="zh-CN"/>
        </w:rPr>
        <w:t>4</w:t>
      </w:r>
      <w:r>
        <w:rPr>
          <w:rFonts w:hint="eastAsia" w:ascii="仿宋" w:hAnsi="仿宋" w:eastAsia="仿宋" w:cs="仿宋"/>
          <w:sz w:val="32"/>
          <w:szCs w:val="32"/>
        </w:rPr>
        <w:t>件，被纠错</w:t>
      </w:r>
      <w:r>
        <w:rPr>
          <w:rFonts w:hint="eastAsia" w:ascii="仿宋" w:hAnsi="仿宋" w:eastAsia="仿宋" w:cs="仿宋"/>
          <w:sz w:val="32"/>
          <w:szCs w:val="32"/>
          <w:lang w:val="en-US" w:eastAsia="zh-CN"/>
        </w:rPr>
        <w:t>0</w:t>
      </w:r>
      <w:r>
        <w:rPr>
          <w:rFonts w:hint="eastAsia" w:ascii="仿宋" w:hAnsi="仿宋" w:eastAsia="仿宋" w:cs="仿宋"/>
          <w:sz w:val="32"/>
          <w:szCs w:val="32"/>
        </w:rPr>
        <w:t>件；被提起行政诉讼</w:t>
      </w:r>
      <w:r>
        <w:rPr>
          <w:rFonts w:hint="eastAsia" w:ascii="仿宋" w:hAnsi="仿宋" w:eastAsia="仿宋" w:cs="仿宋"/>
          <w:sz w:val="32"/>
          <w:szCs w:val="32"/>
          <w:lang w:val="en-US" w:eastAsia="zh-CN"/>
        </w:rPr>
        <w:t>4</w:t>
      </w:r>
      <w:r>
        <w:rPr>
          <w:rFonts w:hint="eastAsia" w:ascii="仿宋" w:hAnsi="仿宋" w:eastAsia="仿宋" w:cs="仿宋"/>
          <w:sz w:val="32"/>
          <w:szCs w:val="32"/>
        </w:rPr>
        <w:t>件，被纠错</w:t>
      </w:r>
      <w:r>
        <w:rPr>
          <w:rFonts w:hint="eastAsia" w:ascii="仿宋" w:hAnsi="仿宋" w:eastAsia="仿宋" w:cs="仿宋"/>
          <w:sz w:val="32"/>
          <w:szCs w:val="32"/>
          <w:lang w:val="en-US" w:eastAsia="zh-CN"/>
        </w:rPr>
        <w:t>0</w:t>
      </w:r>
      <w:r>
        <w:rPr>
          <w:rFonts w:hint="eastAsia" w:ascii="仿宋" w:hAnsi="仿宋" w:eastAsia="仿宋" w:cs="仿宋"/>
          <w:sz w:val="32"/>
          <w:szCs w:val="32"/>
        </w:rPr>
        <w:t>件。</w:t>
      </w:r>
    </w:p>
    <w:tbl>
      <w:tblPr>
        <w:tblStyle w:val="10"/>
        <w:tblpPr w:leftFromText="180" w:rightFromText="180" w:vertAnchor="text" w:horzAnchor="page" w:tblpX="902" w:tblpY="617"/>
        <w:tblOverlap w:val="never"/>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728"/>
        <w:gridCol w:w="709"/>
        <w:gridCol w:w="682"/>
        <w:gridCol w:w="594"/>
        <w:gridCol w:w="709"/>
        <w:gridCol w:w="709"/>
        <w:gridCol w:w="709"/>
        <w:gridCol w:w="708"/>
        <w:gridCol w:w="471"/>
        <w:gridCol w:w="712"/>
        <w:gridCol w:w="675"/>
        <w:gridCol w:w="807"/>
        <w:gridCol w:w="712"/>
        <w:gridCol w:w="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402"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行政复议</w:t>
            </w:r>
          </w:p>
        </w:tc>
        <w:tc>
          <w:tcPr>
            <w:tcW w:w="6804" w:type="dxa"/>
            <w:gridSpan w:val="1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8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结果维持</w:t>
            </w:r>
          </w:p>
        </w:tc>
        <w:tc>
          <w:tcPr>
            <w:tcW w:w="72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结果纠正</w:t>
            </w:r>
          </w:p>
        </w:tc>
        <w:tc>
          <w:tcPr>
            <w:tcW w:w="70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其他结果</w:t>
            </w:r>
          </w:p>
        </w:tc>
        <w:tc>
          <w:tcPr>
            <w:tcW w:w="68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尚未审结</w:t>
            </w:r>
          </w:p>
        </w:tc>
        <w:tc>
          <w:tcPr>
            <w:tcW w:w="5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总计</w:t>
            </w:r>
          </w:p>
        </w:tc>
        <w:tc>
          <w:tcPr>
            <w:tcW w:w="3306"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未经复议直接起诉</w:t>
            </w:r>
          </w:p>
        </w:tc>
        <w:tc>
          <w:tcPr>
            <w:tcW w:w="3498"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pPr>
              <w:jc w:val="center"/>
              <w:rPr>
                <w:rFonts w:hint="eastAsia" w:asciiTheme="minorHAnsi" w:hAnsiTheme="minorHAnsi" w:eastAsiaTheme="minorEastAsia" w:cstheme="minorBidi"/>
                <w:b/>
                <w:bCs/>
                <w:sz w:val="18"/>
                <w:szCs w:val="18"/>
              </w:rPr>
            </w:pPr>
          </w:p>
        </w:tc>
        <w:tc>
          <w:tcPr>
            <w:tcW w:w="728" w:type="dxa"/>
            <w:vMerge w:val="continue"/>
            <w:vAlign w:val="center"/>
          </w:tcPr>
          <w:p>
            <w:pPr>
              <w:jc w:val="center"/>
              <w:rPr>
                <w:rFonts w:hint="eastAsia" w:asciiTheme="minorHAnsi" w:hAnsiTheme="minorHAnsi" w:eastAsiaTheme="minorEastAsia" w:cstheme="minorBidi"/>
                <w:b/>
                <w:bCs/>
                <w:sz w:val="18"/>
                <w:szCs w:val="18"/>
              </w:rPr>
            </w:pPr>
          </w:p>
        </w:tc>
        <w:tc>
          <w:tcPr>
            <w:tcW w:w="709" w:type="dxa"/>
            <w:vMerge w:val="continue"/>
            <w:vAlign w:val="center"/>
          </w:tcPr>
          <w:p>
            <w:pPr>
              <w:jc w:val="center"/>
              <w:rPr>
                <w:rFonts w:hint="eastAsia" w:asciiTheme="minorHAnsi" w:hAnsiTheme="minorHAnsi" w:eastAsiaTheme="minorEastAsia" w:cstheme="minorBidi"/>
                <w:b/>
                <w:bCs/>
                <w:sz w:val="18"/>
                <w:szCs w:val="18"/>
              </w:rPr>
            </w:pPr>
          </w:p>
        </w:tc>
        <w:tc>
          <w:tcPr>
            <w:tcW w:w="682" w:type="dxa"/>
            <w:vMerge w:val="continue"/>
            <w:vAlign w:val="center"/>
          </w:tcPr>
          <w:p>
            <w:pPr>
              <w:jc w:val="center"/>
              <w:rPr>
                <w:rFonts w:hint="eastAsia" w:asciiTheme="minorHAnsi" w:hAnsiTheme="minorHAnsi" w:eastAsiaTheme="minorEastAsia" w:cstheme="minorBidi"/>
                <w:b/>
                <w:bCs/>
                <w:szCs w:val="21"/>
              </w:rPr>
            </w:pPr>
          </w:p>
        </w:tc>
        <w:tc>
          <w:tcPr>
            <w:tcW w:w="594" w:type="dxa"/>
            <w:vMerge w:val="continue"/>
            <w:vAlign w:val="center"/>
          </w:tcPr>
          <w:p>
            <w:pPr>
              <w:jc w:val="center"/>
              <w:rPr>
                <w:rFonts w:hint="eastAsia" w:asciiTheme="minorHAnsi" w:hAnsiTheme="minorHAnsi" w:eastAsiaTheme="minorEastAsia" w:cstheme="minorBidi"/>
                <w:b/>
                <w:bCs/>
                <w:szCs w:val="21"/>
              </w:rPr>
            </w:pPr>
          </w:p>
        </w:tc>
        <w:tc>
          <w:tcPr>
            <w:tcW w:w="709" w:type="dxa"/>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结果维持</w:t>
            </w:r>
          </w:p>
        </w:tc>
        <w:tc>
          <w:tcPr>
            <w:tcW w:w="709" w:type="dxa"/>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结果纠正</w:t>
            </w:r>
          </w:p>
        </w:tc>
        <w:tc>
          <w:tcPr>
            <w:tcW w:w="709" w:type="dxa"/>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其他结果</w:t>
            </w:r>
          </w:p>
        </w:tc>
        <w:tc>
          <w:tcPr>
            <w:tcW w:w="708" w:type="dxa"/>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尚未审结</w:t>
            </w:r>
          </w:p>
        </w:tc>
        <w:tc>
          <w:tcPr>
            <w:tcW w:w="471" w:type="dxa"/>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总计</w:t>
            </w:r>
          </w:p>
        </w:tc>
        <w:tc>
          <w:tcPr>
            <w:tcW w:w="712" w:type="dxa"/>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结果维持</w:t>
            </w:r>
          </w:p>
        </w:tc>
        <w:tc>
          <w:tcPr>
            <w:tcW w:w="675" w:type="dxa"/>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结果纠正</w:t>
            </w:r>
          </w:p>
        </w:tc>
        <w:tc>
          <w:tcPr>
            <w:tcW w:w="807" w:type="dxa"/>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其他结果</w:t>
            </w:r>
          </w:p>
        </w:tc>
        <w:tc>
          <w:tcPr>
            <w:tcW w:w="712" w:type="dxa"/>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尚未审结</w:t>
            </w:r>
          </w:p>
        </w:tc>
        <w:tc>
          <w:tcPr>
            <w:tcW w:w="592" w:type="dxa"/>
            <w:vAlign w:val="center"/>
          </w:tcPr>
          <w:p>
            <w:pPr>
              <w:jc w:val="center"/>
              <w:rPr>
                <w:rFonts w:hint="eastAsia" w:asciiTheme="minorHAnsi" w:hAnsiTheme="minorHAnsi" w:eastAsiaTheme="minorEastAsia" w:cstheme="minorBidi"/>
                <w:b/>
                <w:bCs/>
                <w:szCs w:val="21"/>
              </w:rPr>
            </w:pPr>
            <w:r>
              <w:rPr>
                <w:rFonts w:hint="eastAsia" w:asciiTheme="minorHAnsi" w:hAnsiTheme="minorHAnsi" w:eastAsiaTheme="minorEastAsia" w:cstheme="minorBidi"/>
                <w:b/>
                <w:bCs/>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89" w:type="dxa"/>
            <w:vAlign w:val="center"/>
          </w:tcPr>
          <w:p>
            <w:pPr>
              <w:spacing w:beforeLines="0" w:afterLines="0"/>
              <w:jc w:val="center"/>
              <w:rPr>
                <w:rFonts w:hint="eastAsia" w:asciiTheme="minorHAnsi" w:hAnsiTheme="minorHAnsi" w:eastAsiaTheme="minorEastAsia" w:cstheme="minorBidi"/>
                <w:sz w:val="18"/>
                <w:szCs w:val="18"/>
              </w:rPr>
            </w:pPr>
            <w:r>
              <w:rPr>
                <w:rFonts w:hint="eastAsia" w:ascii="宋体" w:hAnsi="宋体" w:eastAsiaTheme="minorEastAsia" w:cstheme="minorBidi"/>
                <w:color w:val="000000"/>
                <w:sz w:val="22"/>
                <w:szCs w:val="22"/>
              </w:rPr>
              <w:t>24</w:t>
            </w:r>
          </w:p>
        </w:tc>
        <w:tc>
          <w:tcPr>
            <w:tcW w:w="728" w:type="dxa"/>
            <w:vAlign w:val="center"/>
          </w:tcPr>
          <w:p>
            <w:pPr>
              <w:spacing w:beforeLines="0" w:afterLines="0"/>
              <w:jc w:val="center"/>
              <w:rPr>
                <w:rFonts w:hint="eastAsia" w:asciiTheme="minorHAnsi" w:hAnsiTheme="minorHAnsi" w:eastAsiaTheme="minorEastAsia" w:cstheme="minorBidi"/>
                <w:sz w:val="18"/>
                <w:szCs w:val="18"/>
              </w:rPr>
            </w:pPr>
            <w:r>
              <w:rPr>
                <w:rFonts w:hint="eastAsia" w:ascii="宋体" w:hAnsi="宋体" w:eastAsiaTheme="minorEastAsia" w:cstheme="minorBidi"/>
                <w:color w:val="000000"/>
                <w:sz w:val="22"/>
                <w:szCs w:val="22"/>
              </w:rPr>
              <w:t>27</w:t>
            </w:r>
          </w:p>
        </w:tc>
        <w:tc>
          <w:tcPr>
            <w:tcW w:w="709" w:type="dxa"/>
            <w:vAlign w:val="center"/>
          </w:tcPr>
          <w:p>
            <w:pPr>
              <w:spacing w:beforeLines="0" w:afterLines="0"/>
              <w:jc w:val="center"/>
              <w:rPr>
                <w:rFonts w:hint="eastAsia" w:asciiTheme="minorHAnsi" w:hAnsiTheme="minorHAnsi" w:eastAsiaTheme="minorEastAsia" w:cstheme="minorBidi"/>
                <w:sz w:val="18"/>
                <w:szCs w:val="18"/>
              </w:rPr>
            </w:pPr>
            <w:r>
              <w:rPr>
                <w:rFonts w:hint="eastAsia" w:ascii="宋体" w:hAnsi="宋体" w:eastAsiaTheme="minorEastAsia" w:cstheme="minorBidi"/>
                <w:color w:val="000000"/>
                <w:sz w:val="22"/>
                <w:szCs w:val="22"/>
              </w:rPr>
              <w:t>12</w:t>
            </w:r>
          </w:p>
        </w:tc>
        <w:tc>
          <w:tcPr>
            <w:tcW w:w="682"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10</w:t>
            </w:r>
          </w:p>
        </w:tc>
        <w:tc>
          <w:tcPr>
            <w:tcW w:w="594"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73</w:t>
            </w:r>
          </w:p>
        </w:tc>
        <w:tc>
          <w:tcPr>
            <w:tcW w:w="709"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22</w:t>
            </w:r>
          </w:p>
        </w:tc>
        <w:tc>
          <w:tcPr>
            <w:tcW w:w="709"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5</w:t>
            </w:r>
          </w:p>
        </w:tc>
        <w:tc>
          <w:tcPr>
            <w:tcW w:w="709"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3</w:t>
            </w:r>
          </w:p>
        </w:tc>
        <w:tc>
          <w:tcPr>
            <w:tcW w:w="708"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4</w:t>
            </w:r>
          </w:p>
        </w:tc>
        <w:tc>
          <w:tcPr>
            <w:tcW w:w="471"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34</w:t>
            </w:r>
          </w:p>
        </w:tc>
        <w:tc>
          <w:tcPr>
            <w:tcW w:w="712"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20</w:t>
            </w:r>
          </w:p>
        </w:tc>
        <w:tc>
          <w:tcPr>
            <w:tcW w:w="675"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2</w:t>
            </w:r>
          </w:p>
        </w:tc>
        <w:tc>
          <w:tcPr>
            <w:tcW w:w="807"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2</w:t>
            </w:r>
          </w:p>
        </w:tc>
        <w:tc>
          <w:tcPr>
            <w:tcW w:w="712"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1</w:t>
            </w:r>
          </w:p>
        </w:tc>
        <w:tc>
          <w:tcPr>
            <w:tcW w:w="592" w:type="dxa"/>
            <w:vAlign w:val="center"/>
          </w:tcPr>
          <w:p>
            <w:pPr>
              <w:spacing w:beforeLines="0" w:afterLines="0"/>
              <w:jc w:val="center"/>
              <w:rPr>
                <w:rFonts w:hint="eastAsia" w:asciiTheme="minorHAnsi" w:hAnsiTheme="minorHAnsi" w:eastAsiaTheme="minorEastAsia" w:cstheme="minorBidi"/>
                <w:szCs w:val="21"/>
              </w:rPr>
            </w:pPr>
            <w:r>
              <w:rPr>
                <w:rFonts w:hint="eastAsia" w:ascii="宋体" w:hAnsi="宋体" w:eastAsiaTheme="minorEastAsia" w:cstheme="minorBidi"/>
                <w:color w:val="000000"/>
                <w:sz w:val="22"/>
                <w:szCs w:val="22"/>
              </w:rPr>
              <w:t>25</w:t>
            </w:r>
          </w:p>
        </w:tc>
      </w:tr>
    </w:tbl>
    <w:p>
      <w:pPr>
        <w:spacing w:before="156" w:beforeLines="50" w:after="156" w:afterLines="50"/>
        <w:rPr>
          <w:rFonts w:hint="eastAsia" w:asciiTheme="majorEastAsia" w:hAnsiTheme="majorEastAsia" w:eastAsiaTheme="majorEastAsia" w:cstheme="majorEastAsia"/>
          <w:b/>
          <w:bCs/>
          <w:sz w:val="36"/>
          <w:szCs w:val="36"/>
        </w:rPr>
      </w:pPr>
      <w:r>
        <w:rPr>
          <w:rFonts w:hint="default" w:ascii="仿宋" w:hAnsi="仿宋" w:eastAsia="仿宋" w:cs="仿宋"/>
          <w:sz w:val="32"/>
          <w:szCs w:val="32"/>
          <w:lang w:val="en-US" w:eastAsia="zh-CN"/>
        </w:rPr>
        <w:drawing>
          <wp:anchor distT="0" distB="0" distL="114300" distR="114300" simplePos="0" relativeHeight="260568064" behindDoc="1" locked="0" layoutInCell="1" allowOverlap="1">
            <wp:simplePos x="0" y="0"/>
            <wp:positionH relativeFrom="column">
              <wp:posOffset>-354330</wp:posOffset>
            </wp:positionH>
            <wp:positionV relativeFrom="paragraph">
              <wp:posOffset>2113280</wp:posOffset>
            </wp:positionV>
            <wp:extent cx="3261995" cy="4253865"/>
            <wp:effectExtent l="6350" t="6350" r="8255" b="64135"/>
            <wp:wrapTight wrapText="bothSides">
              <wp:wrapPolygon>
                <wp:start x="-42" y="-32"/>
                <wp:lineTo x="-42" y="21539"/>
                <wp:lineTo x="21529" y="21539"/>
                <wp:lineTo x="21529" y="-32"/>
                <wp:lineTo x="-42" y="-32"/>
              </wp:wrapPolygon>
            </wp:wrapTight>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Pr>
          <w:rFonts w:hint="default" w:ascii="仿宋" w:hAnsi="仿宋" w:eastAsia="仿宋" w:cs="仿宋"/>
          <w:sz w:val="32"/>
          <w:szCs w:val="32"/>
          <w:lang w:val="en-US" w:eastAsia="zh-CN"/>
        </w:rPr>
        <w:drawing>
          <wp:anchor distT="0" distB="0" distL="114300" distR="114300" simplePos="0" relativeHeight="269478912" behindDoc="1" locked="0" layoutInCell="1" allowOverlap="1">
            <wp:simplePos x="0" y="0"/>
            <wp:positionH relativeFrom="column">
              <wp:posOffset>3042920</wp:posOffset>
            </wp:positionH>
            <wp:positionV relativeFrom="paragraph">
              <wp:posOffset>2103120</wp:posOffset>
            </wp:positionV>
            <wp:extent cx="3347085" cy="4241800"/>
            <wp:effectExtent l="6350" t="6350" r="18415" b="76200"/>
            <wp:wrapTight wrapText="bothSides">
              <wp:wrapPolygon>
                <wp:start x="-41" y="-32"/>
                <wp:lineTo x="-41" y="21503"/>
                <wp:lineTo x="21473" y="21503"/>
                <wp:lineTo x="21473" y="-32"/>
                <wp:lineTo x="-41" y="-32"/>
              </wp:wrapPolygon>
            </wp:wrapTight>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pP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br w:type="page"/>
      </w:r>
    </w:p>
    <w:p>
      <w:pPr>
        <w:spacing w:before="156" w:beforeLines="50" w:after="156" w:afterLines="50"/>
        <w:rPr>
          <w:rFonts w:hint="eastAsia" w:asciiTheme="majorEastAsia" w:hAnsiTheme="majorEastAsia" w:eastAsiaTheme="majorEastAsia" w:cstheme="majorEastAsia"/>
          <w:b/>
          <w:bCs/>
          <w:sz w:val="36"/>
          <w:szCs w:val="36"/>
          <w:lang w:eastAsia="zh-CN"/>
        </w:rPr>
      </w:pPr>
      <w:r>
        <w:rPr>
          <w:rFonts w:hint="eastAsia" w:asciiTheme="majorEastAsia" w:hAnsiTheme="majorEastAsia" w:eastAsiaTheme="majorEastAsia" w:cstheme="majorEastAsia"/>
          <w:b/>
          <w:bCs/>
          <w:sz w:val="36"/>
          <w:szCs w:val="36"/>
        </w:rPr>
        <w:t>五、存在的主要问题及改进</w:t>
      </w:r>
      <w:r>
        <w:rPr>
          <w:rFonts w:hint="eastAsia" w:asciiTheme="majorEastAsia" w:hAnsiTheme="majorEastAsia" w:eastAsiaTheme="majorEastAsia" w:cstheme="majorEastAsia"/>
          <w:b/>
          <w:bCs/>
          <w:sz w:val="36"/>
          <w:szCs w:val="36"/>
          <w:lang w:eastAsia="zh-CN"/>
        </w:rPr>
        <w:t>措施</w:t>
      </w:r>
    </w:p>
    <w:p>
      <w:pPr>
        <w:ind w:firstLine="640" w:firstLineChars="200"/>
        <w:rPr>
          <w:rFonts w:ascii="仿宋" w:hAnsi="仿宋" w:eastAsia="仿宋" w:cs="仿宋"/>
          <w:sz w:val="32"/>
          <w:szCs w:val="32"/>
        </w:rPr>
      </w:pPr>
      <w:r>
        <w:rPr>
          <w:rFonts w:hint="eastAsia" w:ascii="仿宋" w:hAnsi="仿宋" w:eastAsia="仿宋" w:cs="仿宋"/>
          <w:sz w:val="32"/>
          <w:szCs w:val="32"/>
        </w:rPr>
        <w:t>工作中存在的问题和困难：</w:t>
      </w:r>
    </w:p>
    <w:p>
      <w:pPr>
        <w:numPr>
          <w:ilvl w:val="0"/>
          <w:numId w:val="2"/>
        </w:numPr>
        <w:ind w:firstLine="640" w:firstLineChars="200"/>
        <w:rPr>
          <w:rFonts w:ascii="仿宋" w:hAnsi="仿宋" w:eastAsia="仿宋" w:cs="仿宋"/>
          <w:sz w:val="32"/>
          <w:szCs w:val="32"/>
        </w:rPr>
      </w:pPr>
      <w:r>
        <w:rPr>
          <w:rFonts w:hint="eastAsia" w:ascii="楷体" w:hAnsi="楷体" w:eastAsia="楷体" w:cs="楷体"/>
          <w:sz w:val="32"/>
          <w:szCs w:val="32"/>
        </w:rPr>
        <w:t>公开意识有待进一步提升。</w:t>
      </w:r>
      <w:r>
        <w:rPr>
          <w:rFonts w:hint="eastAsia" w:ascii="仿宋" w:hAnsi="仿宋" w:eastAsia="仿宋" w:cs="仿宋"/>
          <w:sz w:val="32"/>
          <w:szCs w:val="32"/>
        </w:rPr>
        <w:t>虽然经过多年的推进，政务公开形成了较为</w:t>
      </w:r>
      <w:r>
        <w:rPr>
          <w:rFonts w:hint="eastAsia" w:ascii="仿宋" w:hAnsi="仿宋" w:eastAsia="仿宋" w:cs="仿宋"/>
          <w:sz w:val="32"/>
          <w:szCs w:val="32"/>
          <w:lang w:val="en-US" w:eastAsia="zh-CN"/>
        </w:rPr>
        <w:t>浓厚</w:t>
      </w:r>
      <w:r>
        <w:rPr>
          <w:rFonts w:hint="eastAsia" w:ascii="仿宋" w:hAnsi="仿宋" w:eastAsia="仿宋" w:cs="仿宋"/>
          <w:sz w:val="32"/>
          <w:szCs w:val="32"/>
        </w:rPr>
        <w:t>的氛围，但个别地方和单位公开意识还不够强，没有将公开工作与业务工作同步进行部署和安排。</w:t>
      </w:r>
    </w:p>
    <w:p>
      <w:pPr>
        <w:numPr>
          <w:ilvl w:val="0"/>
          <w:numId w:val="2"/>
        </w:numPr>
        <w:ind w:firstLine="640" w:firstLineChars="200"/>
        <w:rPr>
          <w:rFonts w:ascii="仿宋" w:hAnsi="仿宋" w:eastAsia="仿宋" w:cs="仿宋"/>
          <w:sz w:val="32"/>
          <w:szCs w:val="32"/>
        </w:rPr>
      </w:pPr>
      <w:r>
        <w:rPr>
          <w:rFonts w:hint="eastAsia" w:ascii="楷体" w:hAnsi="楷体" w:eastAsia="楷体" w:cs="楷体"/>
          <w:sz w:val="32"/>
          <w:szCs w:val="32"/>
        </w:rPr>
        <w:t>基层工作力量薄弱问题较为突出。</w:t>
      </w:r>
      <w:r>
        <w:rPr>
          <w:rFonts w:hint="eastAsia" w:ascii="仿宋" w:hAnsi="仿宋" w:eastAsia="仿宋" w:cs="仿宋"/>
          <w:sz w:val="32"/>
          <w:szCs w:val="32"/>
        </w:rPr>
        <w:t>宥于机构编制限制，部分区县和大部分政府部门没有成立专门机构，兼职人员流动性大，业务衔接容易出现空档，影响了工作的深入开展。</w:t>
      </w:r>
    </w:p>
    <w:p>
      <w:pPr>
        <w:numPr>
          <w:ilvl w:val="0"/>
          <w:numId w:val="2"/>
        </w:numPr>
        <w:ind w:firstLine="640" w:firstLineChars="200"/>
        <w:rPr>
          <w:rFonts w:ascii="仿宋" w:hAnsi="仿宋" w:eastAsia="仿宋" w:cs="仿宋"/>
          <w:sz w:val="32"/>
          <w:szCs w:val="32"/>
        </w:rPr>
      </w:pPr>
      <w:r>
        <w:rPr>
          <w:rFonts w:hint="eastAsia" w:ascii="楷体" w:hAnsi="楷体" w:eastAsia="楷体" w:cs="楷体"/>
          <w:sz w:val="32"/>
          <w:szCs w:val="32"/>
        </w:rPr>
        <w:t>公开目录编排不够科学清晰。</w:t>
      </w:r>
      <w:r>
        <w:rPr>
          <w:rFonts w:hint="eastAsia" w:ascii="仿宋" w:hAnsi="仿宋" w:eastAsia="仿宋" w:cs="仿宋"/>
          <w:sz w:val="32"/>
          <w:szCs w:val="32"/>
        </w:rPr>
        <w:t>由于各领域一直没有统一的公开目录标准，各级各部门在目录编制上基本上各行其是，目录编排</w:t>
      </w:r>
      <w:r>
        <w:rPr>
          <w:rFonts w:hint="eastAsia" w:ascii="仿宋" w:hAnsi="仿宋" w:eastAsia="仿宋" w:cs="仿宋"/>
          <w:sz w:val="32"/>
          <w:szCs w:val="32"/>
          <w:lang w:val="en-US" w:eastAsia="zh-CN"/>
        </w:rPr>
        <w:t>不甚</w:t>
      </w:r>
      <w:r>
        <w:rPr>
          <w:rFonts w:hint="eastAsia" w:ascii="仿宋" w:hAnsi="仿宋" w:eastAsia="仿宋" w:cs="仿宋"/>
          <w:sz w:val="32"/>
          <w:szCs w:val="32"/>
        </w:rPr>
        <w:t>规范，不便于公众查询浏览。</w:t>
      </w:r>
    </w:p>
    <w:p>
      <w:pPr>
        <w:numPr>
          <w:ilvl w:val="0"/>
          <w:numId w:val="2"/>
        </w:numPr>
        <w:ind w:firstLine="640" w:firstLineChars="200"/>
        <w:rPr>
          <w:rFonts w:ascii="仿宋" w:hAnsi="仿宋" w:eastAsia="仿宋" w:cs="仿宋"/>
          <w:sz w:val="32"/>
          <w:szCs w:val="32"/>
        </w:rPr>
      </w:pPr>
      <w:r>
        <w:rPr>
          <w:rFonts w:hint="eastAsia" w:ascii="楷体" w:hAnsi="楷体" w:eastAsia="楷体" w:cs="楷体"/>
          <w:sz w:val="32"/>
          <w:szCs w:val="32"/>
          <w:lang w:eastAsia="zh-CN"/>
        </w:rPr>
        <w:t>部分领域信息公开不够</w:t>
      </w:r>
      <w:r>
        <w:rPr>
          <w:rFonts w:hint="eastAsia" w:ascii="楷体" w:hAnsi="楷体" w:eastAsia="楷体" w:cs="楷体"/>
          <w:sz w:val="32"/>
          <w:szCs w:val="32"/>
          <w:lang w:val="en-US" w:eastAsia="zh-CN"/>
        </w:rPr>
        <w:t>全面</w:t>
      </w:r>
      <w:r>
        <w:rPr>
          <w:rFonts w:hint="eastAsia" w:ascii="楷体" w:hAnsi="楷体" w:eastAsia="楷体" w:cs="楷体"/>
          <w:sz w:val="32"/>
          <w:szCs w:val="32"/>
          <w:lang w:eastAsia="zh-CN"/>
        </w:rPr>
        <w:t>且深度不够。</w:t>
      </w:r>
      <w:r>
        <w:rPr>
          <w:rFonts w:hint="eastAsia" w:ascii="仿宋" w:hAnsi="仿宋" w:eastAsia="仿宋" w:cs="仿宋"/>
          <w:sz w:val="32"/>
          <w:szCs w:val="32"/>
          <w:lang w:eastAsia="zh-CN"/>
        </w:rPr>
        <w:t>重大建设项目、社会公益事业建设等领域缺乏统一公开平台和标准，导致信息公开不全、分散，不便公众查找获取和监督。</w:t>
      </w:r>
    </w:p>
    <w:p>
      <w:pPr>
        <w:numPr>
          <w:ilvl w:val="0"/>
          <w:numId w:val="0"/>
        </w:num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下步改进措施：</w:t>
      </w:r>
    </w:p>
    <w:p>
      <w:pPr>
        <w:numPr>
          <w:ilvl w:val="0"/>
          <w:numId w:val="3"/>
        </w:numPr>
        <w:ind w:firstLine="640"/>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加强宣传培训，增加公开意识。</w:t>
      </w:r>
      <w:r>
        <w:rPr>
          <w:rFonts w:hint="eastAsia" w:ascii="仿宋" w:hAnsi="仿宋" w:eastAsia="仿宋" w:cs="仿宋"/>
          <w:sz w:val="32"/>
          <w:szCs w:val="32"/>
          <w:lang w:val="en-US" w:eastAsia="zh-CN"/>
        </w:rPr>
        <w:t>制定培训计划，加大培训频次，邀请公开、复议、审判领域专家有针对性地开展培训，加强对政务公开重要意义的认识，持续提升公开工作和应对诉讼的能力。</w:t>
      </w:r>
    </w:p>
    <w:p>
      <w:pPr>
        <w:numPr>
          <w:ilvl w:val="0"/>
          <w:numId w:val="3"/>
        </w:numPr>
        <w:ind w:firstLine="640"/>
        <w:rPr>
          <w:rFonts w:hint="default" w:ascii="仿宋" w:hAnsi="仿宋" w:eastAsia="仿宋" w:cs="仿宋"/>
          <w:sz w:val="32"/>
          <w:szCs w:val="32"/>
          <w:lang w:val="en-US" w:eastAsia="zh-CN"/>
        </w:rPr>
      </w:pPr>
      <w:r>
        <w:rPr>
          <w:rFonts w:hint="eastAsia" w:ascii="楷体" w:hAnsi="楷体" w:eastAsia="楷体" w:cs="楷体"/>
          <w:sz w:val="32"/>
          <w:szCs w:val="32"/>
          <w:lang w:val="en-US" w:eastAsia="zh-CN"/>
        </w:rPr>
        <w:t>细化梳理公开目录，努力扩大公开范围。</w:t>
      </w:r>
      <w:r>
        <w:rPr>
          <w:rFonts w:hint="eastAsia" w:ascii="仿宋" w:hAnsi="仿宋" w:eastAsia="仿宋" w:cs="仿宋"/>
          <w:sz w:val="32"/>
          <w:szCs w:val="32"/>
          <w:lang w:val="en-US" w:eastAsia="zh-CN"/>
        </w:rPr>
        <w:t>结合机构改革和职能调整，充分利用国家基层政务公开规范化标准化试点成果，组织各级各部门开展公开目录梳理工作，以此扩大公开范围，挖掘公开深度，做到应公开尽公开，提升公开工作标准化规范化水平。</w:t>
      </w:r>
    </w:p>
    <w:p>
      <w:pPr>
        <w:numPr>
          <w:ilvl w:val="0"/>
          <w:numId w:val="3"/>
        </w:numPr>
        <w:ind w:firstLine="640"/>
        <w:rPr>
          <w:rFonts w:hint="default" w:ascii="仿宋" w:hAnsi="仿宋" w:eastAsia="仿宋" w:cs="仿宋"/>
          <w:sz w:val="32"/>
          <w:szCs w:val="32"/>
          <w:lang w:val="en-US" w:eastAsia="zh-CN"/>
        </w:rPr>
      </w:pPr>
      <w:r>
        <w:rPr>
          <w:rFonts w:hint="eastAsia" w:ascii="楷体" w:hAnsi="楷体" w:eastAsia="楷体" w:cs="楷体"/>
          <w:sz w:val="32"/>
          <w:szCs w:val="32"/>
          <w:lang w:val="en-US" w:eastAsia="zh-CN"/>
        </w:rPr>
        <w:t>加强监督检查。</w:t>
      </w:r>
      <w:r>
        <w:rPr>
          <w:rFonts w:hint="eastAsia" w:ascii="仿宋" w:hAnsi="仿宋" w:eastAsia="仿宋" w:cs="仿宋"/>
          <w:sz w:val="32"/>
          <w:szCs w:val="32"/>
          <w:lang w:val="en-US" w:eastAsia="zh-CN"/>
        </w:rPr>
        <w:t>加强日常调度检查，及时发现公开工作中存在的问题并反馈整改；继续将政务公开纳入考核事项，加大第三方评估频次，优化考核和评估指标体系，充分发挥考核评估指挥棒作用，增强各级做好公开工作的紧迫感和自觉性。</w:t>
      </w:r>
    </w:p>
    <w:p>
      <w:pPr>
        <w:spacing w:before="156" w:beforeLines="50" w:after="156" w:afterLines="5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六、其他需要报告的事项</w:t>
      </w:r>
    </w:p>
    <w:p>
      <w:pPr>
        <w:numPr>
          <w:ilvl w:val="0"/>
          <w:numId w:val="4"/>
        </w:numPr>
        <w:ind w:left="-10" w:firstLine="640"/>
        <w:jc w:val="left"/>
        <w:outlineLvl w:val="0"/>
        <w:rPr>
          <w:rFonts w:ascii="仿宋" w:hAnsi="仿宋" w:eastAsia="仿宋" w:cs="仿宋"/>
          <w:bCs/>
          <w:sz w:val="32"/>
          <w:szCs w:val="32"/>
        </w:rPr>
      </w:pPr>
      <w:r>
        <w:rPr>
          <w:rFonts w:hint="eastAsia" w:ascii="仿宋" w:hAnsi="仿宋" w:eastAsia="仿宋" w:cs="仿宋"/>
          <w:bCs/>
          <w:sz w:val="32"/>
          <w:szCs w:val="32"/>
        </w:rPr>
        <w:t>本报告统计数据含5区3县人民政府，高新区、经济开发区、文昌湖区管委会3个市政府派出机构，市政府部门单位按机构改革后进行统计，统计数据不含驻淄中央、省属垂直单位</w:t>
      </w:r>
      <w:r>
        <w:rPr>
          <w:rFonts w:hint="eastAsia" w:ascii="仿宋" w:hAnsi="仿宋" w:eastAsia="仿宋" w:cs="仿宋"/>
          <w:bCs/>
          <w:sz w:val="32"/>
          <w:szCs w:val="32"/>
          <w:lang w:val="en-US" w:eastAsia="zh-CN"/>
        </w:rPr>
        <w:t>。</w:t>
      </w:r>
    </w:p>
    <w:p>
      <w:pPr>
        <w:numPr>
          <w:ilvl w:val="0"/>
          <w:numId w:val="4"/>
        </w:numPr>
        <w:ind w:left="-10" w:firstLine="640"/>
        <w:jc w:val="left"/>
        <w:outlineLvl w:val="0"/>
        <w:rPr>
          <w:rFonts w:ascii="仿宋" w:hAnsi="仿宋" w:eastAsia="仿宋" w:cs="仿宋"/>
          <w:bCs/>
          <w:sz w:val="32"/>
          <w:szCs w:val="32"/>
        </w:rPr>
      </w:pPr>
      <w:r>
        <w:rPr>
          <w:rFonts w:hint="eastAsia" w:ascii="仿宋" w:hAnsi="仿宋" w:eastAsia="仿宋" w:cs="仿宋"/>
          <w:bCs/>
          <w:sz w:val="32"/>
          <w:szCs w:val="32"/>
        </w:rPr>
        <w:t>本报告所列数据可能因四舍五入原因与数据直接相加之和存在尾数差异。</w:t>
      </w:r>
    </w:p>
    <w:p>
      <w:pPr>
        <w:ind w:firstLine="640"/>
        <w:rPr>
          <w:rFonts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jc w:val="left"/>
        <w:textAlignment w:val="auto"/>
        <w:rPr>
          <w:rFonts w:ascii="仿宋" w:hAnsi="仿宋" w:eastAsia="仿宋" w:cs="仿宋"/>
          <w:sz w:val="32"/>
          <w:szCs w:val="32"/>
        </w:rPr>
      </w:pPr>
    </w:p>
    <w:sectPr>
      <w:footerReference r:id="rId7" w:type="default"/>
      <w:footerReference r:id="rId8" w:type="even"/>
      <w:pgSz w:w="11906" w:h="16838"/>
      <w:pgMar w:top="1440" w:right="1236" w:bottom="1440" w:left="1236" w:header="851" w:footer="992" w:gutter="0"/>
      <w:pgBorders>
        <w:top w:val="threeDEngrave" w:color="92D050" w:sz="24" w:space="5"/>
      </w:pgBorders>
      <w:pgNumType w:fmt="decimalFullWidt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Goudy Old Style">
    <w:altName w:val="Segoe Print"/>
    <w:panose1 w:val="02020502050305020303"/>
    <w:charset w:val="00"/>
    <w:family w:val="roman"/>
    <w:pitch w:val="default"/>
    <w:sig w:usb0="00000000" w:usb1="00000000" w:usb2="00000000" w:usb3="00000000" w:csb0="2000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１</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１</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１</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１</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right"/>
                          </w:pPr>
                          <w:r>
                            <w:fldChar w:fldCharType="begin"/>
                          </w:r>
                          <w:r>
                            <w:instrText xml:space="preserve"> PAGE   \* MERGEFORMAT </w:instrText>
                          </w:r>
                          <w:r>
                            <w:fldChar w:fldCharType="separate"/>
                          </w:r>
                          <w:r>
                            <w:rPr>
                              <w:rFonts w:hint="eastAsia"/>
                              <w:lang w:val="zh-CN"/>
                            </w:rPr>
                            <w:t>２９</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6"/>
                      <w:jc w:val="right"/>
                    </w:pPr>
                    <w:r>
                      <w:fldChar w:fldCharType="begin"/>
                    </w:r>
                    <w:r>
                      <w:instrText xml:space="preserve"> PAGE   \* MERGEFORMAT </w:instrText>
                    </w:r>
                    <w:r>
                      <w:fldChar w:fldCharType="separate"/>
                    </w:r>
                    <w:r>
                      <w:rPr>
                        <w:rFonts w:hint="eastAsia"/>
                        <w:lang w:val="zh-CN"/>
                      </w:rPr>
                      <w:t>２９</w:t>
                    </w:r>
                    <w:r>
                      <w:rPr>
                        <w:lang w:val="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rPr>
                              <w:rFonts w:hint="eastAsia"/>
                              <w:lang w:val="zh-CN"/>
                            </w:rPr>
                            <w:t>２８</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rPr>
                        <w:rFonts w:hint="eastAsia"/>
                        <w:lang w:val="zh-CN"/>
                      </w:rPr>
                      <w:t>２８</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rPr>
        <w:sz w:val="18"/>
      </w:rPr>
    </w:pPr>
    <w:r>
      <w:rPr>
        <w:i/>
        <w:color w:val="FF0000"/>
        <w:sz w:val="24"/>
      </w:rPr>
      <w:t>201</w:t>
    </w:r>
    <w:r>
      <w:rPr>
        <w:rFonts w:hint="eastAsia"/>
        <w:i/>
        <w:color w:val="FF0000"/>
        <w:sz w:val="24"/>
        <w:lang w:val="en-US" w:eastAsia="zh-CN"/>
      </w:rPr>
      <w:t>9</w:t>
    </w:r>
    <w:r>
      <w:rPr>
        <w:rFonts w:hint="eastAsia" w:ascii="仿宋_GB2312" w:eastAsia="仿宋_GB2312"/>
        <w:sz w:val="18"/>
      </w:rPr>
      <w:t>淄博市政府信息公开工作年度报告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765"/>
        <w:tab w:val="clear" w:pos="4153"/>
        <w:tab w:val="clear" w:pos="8306"/>
      </w:tabs>
      <w:jc w:val="both"/>
    </w:pPr>
    <w:r>
      <w:rPr>
        <w:rFonts w:hint="eastAsia"/>
        <w:i/>
        <w:color w:val="FF0000"/>
        <w:sz w:val="21"/>
      </w:rPr>
      <w:t>201</w:t>
    </w:r>
    <w:r>
      <w:rPr>
        <w:rFonts w:hint="eastAsia"/>
        <w:i/>
        <w:color w:val="FF0000"/>
        <w:sz w:val="21"/>
        <w:lang w:val="en-US" w:eastAsia="zh-CN"/>
      </w:rPr>
      <w:t>9</w:t>
    </w:r>
    <w:r>
      <w:rPr>
        <w:rFonts w:hint="eastAsia"/>
        <w:sz w:val="18"/>
      </w:rPr>
      <w:t>　Zibo Shi ZhengFuXinXiGongKaiGongZuoNianD</w:t>
    </w:r>
    <w:r>
      <w:rPr>
        <w:sz w:val="18"/>
      </w:rPr>
      <w:t>u</w:t>
    </w:r>
    <w:r>
      <w:rPr>
        <w:rFonts w:hint="eastAsia"/>
        <w:sz w:val="18"/>
      </w:rPr>
      <w:t>BaoGao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C0E1AA"/>
    <w:multiLevelType w:val="singleLevel"/>
    <w:tmpl w:val="99C0E1AA"/>
    <w:lvl w:ilvl="0" w:tentative="0">
      <w:start w:val="1"/>
      <w:numFmt w:val="decimal"/>
      <w:suff w:val="nothing"/>
      <w:lvlText w:val="%1、"/>
      <w:lvlJc w:val="left"/>
    </w:lvl>
  </w:abstractNum>
  <w:abstractNum w:abstractNumId="1">
    <w:nsid w:val="9DC2518A"/>
    <w:multiLevelType w:val="singleLevel"/>
    <w:tmpl w:val="9DC2518A"/>
    <w:lvl w:ilvl="0" w:tentative="0">
      <w:start w:val="1"/>
      <w:numFmt w:val="decimal"/>
      <w:suff w:val="nothing"/>
      <w:lvlText w:val="%1、"/>
      <w:lvlJc w:val="left"/>
    </w:lvl>
  </w:abstractNum>
  <w:abstractNum w:abstractNumId="2">
    <w:nsid w:val="D56A57D4"/>
    <w:multiLevelType w:val="singleLevel"/>
    <w:tmpl w:val="D56A57D4"/>
    <w:lvl w:ilvl="0" w:tentative="0">
      <w:start w:val="1"/>
      <w:numFmt w:val="chineseCounting"/>
      <w:suff w:val="nothing"/>
      <w:lvlText w:val="（%1）"/>
      <w:lvlJc w:val="left"/>
      <w:pPr>
        <w:ind w:left="640" w:firstLine="0"/>
      </w:pPr>
      <w:rPr>
        <w:rFonts w:hint="eastAsia"/>
      </w:rPr>
    </w:lvl>
  </w:abstractNum>
  <w:abstractNum w:abstractNumId="3">
    <w:nsid w:val="3D39E6FC"/>
    <w:multiLevelType w:val="singleLevel"/>
    <w:tmpl w:val="3D39E6FC"/>
    <w:lvl w:ilvl="0" w:tentative="0">
      <w:start w:val="1"/>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DA"/>
    <w:rsid w:val="00010663"/>
    <w:rsid w:val="00013C33"/>
    <w:rsid w:val="00014971"/>
    <w:rsid w:val="0002321D"/>
    <w:rsid w:val="00023A3C"/>
    <w:rsid w:val="000247F0"/>
    <w:rsid w:val="00031246"/>
    <w:rsid w:val="00031955"/>
    <w:rsid w:val="000379A8"/>
    <w:rsid w:val="00037AFC"/>
    <w:rsid w:val="00045B6E"/>
    <w:rsid w:val="00054342"/>
    <w:rsid w:val="00056785"/>
    <w:rsid w:val="00056AAE"/>
    <w:rsid w:val="00056BCB"/>
    <w:rsid w:val="00060087"/>
    <w:rsid w:val="00064FF0"/>
    <w:rsid w:val="0006753A"/>
    <w:rsid w:val="00072971"/>
    <w:rsid w:val="00083B59"/>
    <w:rsid w:val="00086CEC"/>
    <w:rsid w:val="000918BC"/>
    <w:rsid w:val="000A475A"/>
    <w:rsid w:val="000A7505"/>
    <w:rsid w:val="000B12B0"/>
    <w:rsid w:val="000C4674"/>
    <w:rsid w:val="000C7C6B"/>
    <w:rsid w:val="000D0542"/>
    <w:rsid w:val="000D4851"/>
    <w:rsid w:val="000D70DA"/>
    <w:rsid w:val="000E03EC"/>
    <w:rsid w:val="000E0B92"/>
    <w:rsid w:val="000E0F16"/>
    <w:rsid w:val="000E49DB"/>
    <w:rsid w:val="000E4D4A"/>
    <w:rsid w:val="000E6279"/>
    <w:rsid w:val="000F2326"/>
    <w:rsid w:val="000F2562"/>
    <w:rsid w:val="000F26C0"/>
    <w:rsid w:val="000F636D"/>
    <w:rsid w:val="001002ED"/>
    <w:rsid w:val="0010046D"/>
    <w:rsid w:val="001017ED"/>
    <w:rsid w:val="00101C01"/>
    <w:rsid w:val="001022AE"/>
    <w:rsid w:val="0010782F"/>
    <w:rsid w:val="00107E7D"/>
    <w:rsid w:val="001231C3"/>
    <w:rsid w:val="001245E1"/>
    <w:rsid w:val="00131C05"/>
    <w:rsid w:val="001353AA"/>
    <w:rsid w:val="00140896"/>
    <w:rsid w:val="00142CBA"/>
    <w:rsid w:val="00152ED3"/>
    <w:rsid w:val="00154674"/>
    <w:rsid w:val="00154D42"/>
    <w:rsid w:val="0016244F"/>
    <w:rsid w:val="00181E34"/>
    <w:rsid w:val="00184B72"/>
    <w:rsid w:val="00184D8B"/>
    <w:rsid w:val="00185648"/>
    <w:rsid w:val="00185954"/>
    <w:rsid w:val="00185CAD"/>
    <w:rsid w:val="00186D22"/>
    <w:rsid w:val="00187348"/>
    <w:rsid w:val="001905D5"/>
    <w:rsid w:val="001959C9"/>
    <w:rsid w:val="001A0A4D"/>
    <w:rsid w:val="001B0F46"/>
    <w:rsid w:val="001B15F5"/>
    <w:rsid w:val="001B316C"/>
    <w:rsid w:val="001B3A36"/>
    <w:rsid w:val="001B5277"/>
    <w:rsid w:val="001C092F"/>
    <w:rsid w:val="001C22C1"/>
    <w:rsid w:val="001C23EC"/>
    <w:rsid w:val="001C3DE8"/>
    <w:rsid w:val="001C3E3E"/>
    <w:rsid w:val="001E0B90"/>
    <w:rsid w:val="001E1900"/>
    <w:rsid w:val="001E24F7"/>
    <w:rsid w:val="001E5153"/>
    <w:rsid w:val="001F1CC0"/>
    <w:rsid w:val="00200631"/>
    <w:rsid w:val="00203CC4"/>
    <w:rsid w:val="0020637B"/>
    <w:rsid w:val="00207E9C"/>
    <w:rsid w:val="0021031C"/>
    <w:rsid w:val="00223639"/>
    <w:rsid w:val="002240D0"/>
    <w:rsid w:val="0022798A"/>
    <w:rsid w:val="00232C04"/>
    <w:rsid w:val="00235EAD"/>
    <w:rsid w:val="0024305D"/>
    <w:rsid w:val="00260F8C"/>
    <w:rsid w:val="002625F4"/>
    <w:rsid w:val="00270852"/>
    <w:rsid w:val="0027504F"/>
    <w:rsid w:val="00275461"/>
    <w:rsid w:val="00275A1A"/>
    <w:rsid w:val="0027771A"/>
    <w:rsid w:val="00277A2B"/>
    <w:rsid w:val="00284749"/>
    <w:rsid w:val="00294287"/>
    <w:rsid w:val="002A1D05"/>
    <w:rsid w:val="002A6095"/>
    <w:rsid w:val="002B1BDB"/>
    <w:rsid w:val="002B2D4F"/>
    <w:rsid w:val="002B6F97"/>
    <w:rsid w:val="002C336C"/>
    <w:rsid w:val="002D26F6"/>
    <w:rsid w:val="002D38AC"/>
    <w:rsid w:val="002D7DCF"/>
    <w:rsid w:val="002E1837"/>
    <w:rsid w:val="002E2A9B"/>
    <w:rsid w:val="002E422F"/>
    <w:rsid w:val="002E6D17"/>
    <w:rsid w:val="002E6DCA"/>
    <w:rsid w:val="002F2F57"/>
    <w:rsid w:val="002F465F"/>
    <w:rsid w:val="00303671"/>
    <w:rsid w:val="003036CE"/>
    <w:rsid w:val="0030738E"/>
    <w:rsid w:val="0031201A"/>
    <w:rsid w:val="0031553B"/>
    <w:rsid w:val="00316844"/>
    <w:rsid w:val="00316F82"/>
    <w:rsid w:val="003200E0"/>
    <w:rsid w:val="0032204F"/>
    <w:rsid w:val="00326D58"/>
    <w:rsid w:val="00331BEC"/>
    <w:rsid w:val="00335A0F"/>
    <w:rsid w:val="0033624F"/>
    <w:rsid w:val="00342F6A"/>
    <w:rsid w:val="0034440B"/>
    <w:rsid w:val="003464F5"/>
    <w:rsid w:val="00346CC4"/>
    <w:rsid w:val="0034757E"/>
    <w:rsid w:val="003505EA"/>
    <w:rsid w:val="00360ACB"/>
    <w:rsid w:val="00360B9F"/>
    <w:rsid w:val="00366222"/>
    <w:rsid w:val="003673D6"/>
    <w:rsid w:val="0037106B"/>
    <w:rsid w:val="003755A0"/>
    <w:rsid w:val="00376B2F"/>
    <w:rsid w:val="00385E17"/>
    <w:rsid w:val="0038788F"/>
    <w:rsid w:val="0039252E"/>
    <w:rsid w:val="00395F7F"/>
    <w:rsid w:val="003A60D6"/>
    <w:rsid w:val="003A62EC"/>
    <w:rsid w:val="003B35E9"/>
    <w:rsid w:val="003B4CEC"/>
    <w:rsid w:val="003C1701"/>
    <w:rsid w:val="003D2C8A"/>
    <w:rsid w:val="003D42EF"/>
    <w:rsid w:val="003D71B3"/>
    <w:rsid w:val="003E3423"/>
    <w:rsid w:val="003F3493"/>
    <w:rsid w:val="003F6BB1"/>
    <w:rsid w:val="003F7503"/>
    <w:rsid w:val="003F7B8D"/>
    <w:rsid w:val="004051D6"/>
    <w:rsid w:val="00405F67"/>
    <w:rsid w:val="00417875"/>
    <w:rsid w:val="00426231"/>
    <w:rsid w:val="004300AC"/>
    <w:rsid w:val="00430733"/>
    <w:rsid w:val="004313A8"/>
    <w:rsid w:val="00442D47"/>
    <w:rsid w:val="004449FB"/>
    <w:rsid w:val="00447C87"/>
    <w:rsid w:val="00452342"/>
    <w:rsid w:val="00453B23"/>
    <w:rsid w:val="00454394"/>
    <w:rsid w:val="00454827"/>
    <w:rsid w:val="004561E9"/>
    <w:rsid w:val="00456D9B"/>
    <w:rsid w:val="0045746A"/>
    <w:rsid w:val="00460FB2"/>
    <w:rsid w:val="004665A5"/>
    <w:rsid w:val="004666E6"/>
    <w:rsid w:val="00470576"/>
    <w:rsid w:val="00471C23"/>
    <w:rsid w:val="00476ED7"/>
    <w:rsid w:val="00484B04"/>
    <w:rsid w:val="004862D1"/>
    <w:rsid w:val="00490382"/>
    <w:rsid w:val="00493EFB"/>
    <w:rsid w:val="00495ED9"/>
    <w:rsid w:val="004A1CC6"/>
    <w:rsid w:val="004A1F14"/>
    <w:rsid w:val="004A4650"/>
    <w:rsid w:val="004B01D6"/>
    <w:rsid w:val="004B747D"/>
    <w:rsid w:val="004C2429"/>
    <w:rsid w:val="004C5094"/>
    <w:rsid w:val="004C5F1E"/>
    <w:rsid w:val="004D3541"/>
    <w:rsid w:val="004E1170"/>
    <w:rsid w:val="004E12D8"/>
    <w:rsid w:val="004E2347"/>
    <w:rsid w:val="004E5447"/>
    <w:rsid w:val="004E6CCC"/>
    <w:rsid w:val="004F10BD"/>
    <w:rsid w:val="004F16D6"/>
    <w:rsid w:val="004F7419"/>
    <w:rsid w:val="0050598B"/>
    <w:rsid w:val="00505C8D"/>
    <w:rsid w:val="00505CB3"/>
    <w:rsid w:val="00507047"/>
    <w:rsid w:val="00512B8B"/>
    <w:rsid w:val="005139EA"/>
    <w:rsid w:val="00513FD8"/>
    <w:rsid w:val="00514679"/>
    <w:rsid w:val="00524312"/>
    <w:rsid w:val="005246B4"/>
    <w:rsid w:val="0053782D"/>
    <w:rsid w:val="00546286"/>
    <w:rsid w:val="00546C19"/>
    <w:rsid w:val="00562A2C"/>
    <w:rsid w:val="0056480C"/>
    <w:rsid w:val="00564858"/>
    <w:rsid w:val="0057240C"/>
    <w:rsid w:val="005739FB"/>
    <w:rsid w:val="00575C3A"/>
    <w:rsid w:val="00593B8F"/>
    <w:rsid w:val="00596F4C"/>
    <w:rsid w:val="005A007F"/>
    <w:rsid w:val="005A1BE5"/>
    <w:rsid w:val="005A2A7B"/>
    <w:rsid w:val="005A3BD0"/>
    <w:rsid w:val="005A3C3C"/>
    <w:rsid w:val="005A79F2"/>
    <w:rsid w:val="005C621E"/>
    <w:rsid w:val="005D781D"/>
    <w:rsid w:val="005E0A43"/>
    <w:rsid w:val="005F2376"/>
    <w:rsid w:val="005F6670"/>
    <w:rsid w:val="005F6CE8"/>
    <w:rsid w:val="00603337"/>
    <w:rsid w:val="006211A0"/>
    <w:rsid w:val="00624005"/>
    <w:rsid w:val="00633D34"/>
    <w:rsid w:val="00634E77"/>
    <w:rsid w:val="00635051"/>
    <w:rsid w:val="0063663E"/>
    <w:rsid w:val="006469F3"/>
    <w:rsid w:val="00647C0F"/>
    <w:rsid w:val="00652B6B"/>
    <w:rsid w:val="00653558"/>
    <w:rsid w:val="00654847"/>
    <w:rsid w:val="00660A53"/>
    <w:rsid w:val="006711C5"/>
    <w:rsid w:val="00675FA9"/>
    <w:rsid w:val="00676F4F"/>
    <w:rsid w:val="006812C8"/>
    <w:rsid w:val="00681F22"/>
    <w:rsid w:val="00684BE6"/>
    <w:rsid w:val="0069074F"/>
    <w:rsid w:val="00694E39"/>
    <w:rsid w:val="0069579F"/>
    <w:rsid w:val="006A0357"/>
    <w:rsid w:val="006A06DF"/>
    <w:rsid w:val="006A20AE"/>
    <w:rsid w:val="006A2609"/>
    <w:rsid w:val="006A36DB"/>
    <w:rsid w:val="006A372D"/>
    <w:rsid w:val="006A3E69"/>
    <w:rsid w:val="006A5259"/>
    <w:rsid w:val="006B0F2E"/>
    <w:rsid w:val="006B410A"/>
    <w:rsid w:val="006C5630"/>
    <w:rsid w:val="006C7B15"/>
    <w:rsid w:val="006D1FD9"/>
    <w:rsid w:val="006D49D6"/>
    <w:rsid w:val="006D659A"/>
    <w:rsid w:val="006E35A1"/>
    <w:rsid w:val="006E3ACC"/>
    <w:rsid w:val="006E41D3"/>
    <w:rsid w:val="006E45E2"/>
    <w:rsid w:val="006F0252"/>
    <w:rsid w:val="006F21B9"/>
    <w:rsid w:val="007016F4"/>
    <w:rsid w:val="00710D0C"/>
    <w:rsid w:val="007248D4"/>
    <w:rsid w:val="00726CA4"/>
    <w:rsid w:val="00727094"/>
    <w:rsid w:val="007276FB"/>
    <w:rsid w:val="007278E9"/>
    <w:rsid w:val="00732E71"/>
    <w:rsid w:val="00732F54"/>
    <w:rsid w:val="00737A28"/>
    <w:rsid w:val="00744F8B"/>
    <w:rsid w:val="007467D5"/>
    <w:rsid w:val="00752AF8"/>
    <w:rsid w:val="00753EE7"/>
    <w:rsid w:val="00754DA7"/>
    <w:rsid w:val="00754E10"/>
    <w:rsid w:val="0077738B"/>
    <w:rsid w:val="00780C62"/>
    <w:rsid w:val="00783992"/>
    <w:rsid w:val="00784A5F"/>
    <w:rsid w:val="00792297"/>
    <w:rsid w:val="007942A6"/>
    <w:rsid w:val="007A084B"/>
    <w:rsid w:val="007A0D24"/>
    <w:rsid w:val="007A496E"/>
    <w:rsid w:val="007B69DF"/>
    <w:rsid w:val="007C1677"/>
    <w:rsid w:val="007D1F69"/>
    <w:rsid w:val="007D5ADC"/>
    <w:rsid w:val="007E057A"/>
    <w:rsid w:val="007F182F"/>
    <w:rsid w:val="007F2998"/>
    <w:rsid w:val="007F51F2"/>
    <w:rsid w:val="007F6C3F"/>
    <w:rsid w:val="00802292"/>
    <w:rsid w:val="00803674"/>
    <w:rsid w:val="0080469C"/>
    <w:rsid w:val="00806947"/>
    <w:rsid w:val="008069E8"/>
    <w:rsid w:val="00811312"/>
    <w:rsid w:val="0081334C"/>
    <w:rsid w:val="00817759"/>
    <w:rsid w:val="0082089C"/>
    <w:rsid w:val="0082760B"/>
    <w:rsid w:val="008331B2"/>
    <w:rsid w:val="008359F2"/>
    <w:rsid w:val="00835DDC"/>
    <w:rsid w:val="00840900"/>
    <w:rsid w:val="00840E98"/>
    <w:rsid w:val="00844BE0"/>
    <w:rsid w:val="00851241"/>
    <w:rsid w:val="00852E7C"/>
    <w:rsid w:val="008604A0"/>
    <w:rsid w:val="00860EAA"/>
    <w:rsid w:val="008644E9"/>
    <w:rsid w:val="00864607"/>
    <w:rsid w:val="00864A12"/>
    <w:rsid w:val="0086794C"/>
    <w:rsid w:val="00880CA9"/>
    <w:rsid w:val="0088792D"/>
    <w:rsid w:val="00892287"/>
    <w:rsid w:val="00893CE0"/>
    <w:rsid w:val="00897F87"/>
    <w:rsid w:val="008A1B58"/>
    <w:rsid w:val="008A396E"/>
    <w:rsid w:val="008A721C"/>
    <w:rsid w:val="008B0946"/>
    <w:rsid w:val="008B0FC8"/>
    <w:rsid w:val="008B5214"/>
    <w:rsid w:val="008C53B8"/>
    <w:rsid w:val="008D129F"/>
    <w:rsid w:val="008D466D"/>
    <w:rsid w:val="008E01D3"/>
    <w:rsid w:val="008E613F"/>
    <w:rsid w:val="008E7265"/>
    <w:rsid w:val="008F3E72"/>
    <w:rsid w:val="008F5767"/>
    <w:rsid w:val="008F599D"/>
    <w:rsid w:val="00904198"/>
    <w:rsid w:val="00905D4A"/>
    <w:rsid w:val="00907B25"/>
    <w:rsid w:val="009167D3"/>
    <w:rsid w:val="00922ED1"/>
    <w:rsid w:val="009257D3"/>
    <w:rsid w:val="00930352"/>
    <w:rsid w:val="00937097"/>
    <w:rsid w:val="00944F91"/>
    <w:rsid w:val="00952806"/>
    <w:rsid w:val="009534AB"/>
    <w:rsid w:val="00954B2E"/>
    <w:rsid w:val="009561E4"/>
    <w:rsid w:val="00956902"/>
    <w:rsid w:val="00963F02"/>
    <w:rsid w:val="00963FC3"/>
    <w:rsid w:val="00964D01"/>
    <w:rsid w:val="00975D66"/>
    <w:rsid w:val="00986545"/>
    <w:rsid w:val="0099465A"/>
    <w:rsid w:val="0099546A"/>
    <w:rsid w:val="00997452"/>
    <w:rsid w:val="009A0242"/>
    <w:rsid w:val="009B12E6"/>
    <w:rsid w:val="009C6A23"/>
    <w:rsid w:val="009C6DEE"/>
    <w:rsid w:val="009C799F"/>
    <w:rsid w:val="009D129C"/>
    <w:rsid w:val="009D37FE"/>
    <w:rsid w:val="009D3908"/>
    <w:rsid w:val="009D62C8"/>
    <w:rsid w:val="009E3A84"/>
    <w:rsid w:val="009E3E64"/>
    <w:rsid w:val="009E751C"/>
    <w:rsid w:val="009F0976"/>
    <w:rsid w:val="009F0E31"/>
    <w:rsid w:val="00A00108"/>
    <w:rsid w:val="00A00BF1"/>
    <w:rsid w:val="00A02690"/>
    <w:rsid w:val="00A039FE"/>
    <w:rsid w:val="00A1034B"/>
    <w:rsid w:val="00A1228C"/>
    <w:rsid w:val="00A139BB"/>
    <w:rsid w:val="00A146AE"/>
    <w:rsid w:val="00A20874"/>
    <w:rsid w:val="00A22F07"/>
    <w:rsid w:val="00A25D87"/>
    <w:rsid w:val="00A26F59"/>
    <w:rsid w:val="00A31035"/>
    <w:rsid w:val="00A35EA9"/>
    <w:rsid w:val="00A36F6B"/>
    <w:rsid w:val="00A47EC2"/>
    <w:rsid w:val="00A517B2"/>
    <w:rsid w:val="00A563FF"/>
    <w:rsid w:val="00A56D49"/>
    <w:rsid w:val="00A625BD"/>
    <w:rsid w:val="00A63623"/>
    <w:rsid w:val="00A74CE9"/>
    <w:rsid w:val="00A90552"/>
    <w:rsid w:val="00A917A0"/>
    <w:rsid w:val="00A976C0"/>
    <w:rsid w:val="00AA25E1"/>
    <w:rsid w:val="00AA6330"/>
    <w:rsid w:val="00AB2615"/>
    <w:rsid w:val="00AB2EAF"/>
    <w:rsid w:val="00AC015B"/>
    <w:rsid w:val="00AC02DB"/>
    <w:rsid w:val="00AC63E3"/>
    <w:rsid w:val="00AC7F82"/>
    <w:rsid w:val="00AD32D6"/>
    <w:rsid w:val="00AD5512"/>
    <w:rsid w:val="00AD6041"/>
    <w:rsid w:val="00AE7D2D"/>
    <w:rsid w:val="00AF414F"/>
    <w:rsid w:val="00B0271C"/>
    <w:rsid w:val="00B042B6"/>
    <w:rsid w:val="00B05603"/>
    <w:rsid w:val="00B13C5E"/>
    <w:rsid w:val="00B14411"/>
    <w:rsid w:val="00B14482"/>
    <w:rsid w:val="00B1744E"/>
    <w:rsid w:val="00B21D26"/>
    <w:rsid w:val="00B23E39"/>
    <w:rsid w:val="00B25B52"/>
    <w:rsid w:val="00B26747"/>
    <w:rsid w:val="00B3319D"/>
    <w:rsid w:val="00B33942"/>
    <w:rsid w:val="00B3703D"/>
    <w:rsid w:val="00B37EBD"/>
    <w:rsid w:val="00B41880"/>
    <w:rsid w:val="00B5109A"/>
    <w:rsid w:val="00B52856"/>
    <w:rsid w:val="00B5338B"/>
    <w:rsid w:val="00B71E6E"/>
    <w:rsid w:val="00B71EED"/>
    <w:rsid w:val="00B768E9"/>
    <w:rsid w:val="00B769A4"/>
    <w:rsid w:val="00B829B3"/>
    <w:rsid w:val="00B839D4"/>
    <w:rsid w:val="00B851A4"/>
    <w:rsid w:val="00B91D4A"/>
    <w:rsid w:val="00BA1B57"/>
    <w:rsid w:val="00BA2075"/>
    <w:rsid w:val="00BB136F"/>
    <w:rsid w:val="00BB4553"/>
    <w:rsid w:val="00BB46C0"/>
    <w:rsid w:val="00BC208B"/>
    <w:rsid w:val="00BC2209"/>
    <w:rsid w:val="00BC48D1"/>
    <w:rsid w:val="00BC7FF4"/>
    <w:rsid w:val="00BD0736"/>
    <w:rsid w:val="00BD08F5"/>
    <w:rsid w:val="00BD3BA6"/>
    <w:rsid w:val="00BD46D9"/>
    <w:rsid w:val="00BE24AE"/>
    <w:rsid w:val="00BE5D4B"/>
    <w:rsid w:val="00BE6FD3"/>
    <w:rsid w:val="00BE78F4"/>
    <w:rsid w:val="00BF66BA"/>
    <w:rsid w:val="00BF77B0"/>
    <w:rsid w:val="00C0199A"/>
    <w:rsid w:val="00C029D9"/>
    <w:rsid w:val="00C035A9"/>
    <w:rsid w:val="00C2370E"/>
    <w:rsid w:val="00C237C3"/>
    <w:rsid w:val="00C278BB"/>
    <w:rsid w:val="00C30F55"/>
    <w:rsid w:val="00C320F3"/>
    <w:rsid w:val="00C322B7"/>
    <w:rsid w:val="00C40FF2"/>
    <w:rsid w:val="00C4376F"/>
    <w:rsid w:val="00C437D4"/>
    <w:rsid w:val="00C53FB1"/>
    <w:rsid w:val="00C55E50"/>
    <w:rsid w:val="00C5710B"/>
    <w:rsid w:val="00C67484"/>
    <w:rsid w:val="00C73623"/>
    <w:rsid w:val="00C74C2B"/>
    <w:rsid w:val="00C80113"/>
    <w:rsid w:val="00C81F34"/>
    <w:rsid w:val="00C83617"/>
    <w:rsid w:val="00C84340"/>
    <w:rsid w:val="00C9483E"/>
    <w:rsid w:val="00C9542A"/>
    <w:rsid w:val="00CA1C88"/>
    <w:rsid w:val="00CB1586"/>
    <w:rsid w:val="00CB52A5"/>
    <w:rsid w:val="00CC3F60"/>
    <w:rsid w:val="00CD143F"/>
    <w:rsid w:val="00CD19D2"/>
    <w:rsid w:val="00CD2F76"/>
    <w:rsid w:val="00CD404C"/>
    <w:rsid w:val="00CE3DA8"/>
    <w:rsid w:val="00CF4260"/>
    <w:rsid w:val="00D07308"/>
    <w:rsid w:val="00D07722"/>
    <w:rsid w:val="00D14ED4"/>
    <w:rsid w:val="00D212A5"/>
    <w:rsid w:val="00D27B2D"/>
    <w:rsid w:val="00D32EA2"/>
    <w:rsid w:val="00D3663A"/>
    <w:rsid w:val="00D43F15"/>
    <w:rsid w:val="00D44F3B"/>
    <w:rsid w:val="00D457E1"/>
    <w:rsid w:val="00D51BC5"/>
    <w:rsid w:val="00D5493A"/>
    <w:rsid w:val="00D6014F"/>
    <w:rsid w:val="00D610AF"/>
    <w:rsid w:val="00D62398"/>
    <w:rsid w:val="00D62513"/>
    <w:rsid w:val="00D77F96"/>
    <w:rsid w:val="00D77F9D"/>
    <w:rsid w:val="00D82001"/>
    <w:rsid w:val="00D90B9B"/>
    <w:rsid w:val="00D93E09"/>
    <w:rsid w:val="00D975BC"/>
    <w:rsid w:val="00D9778F"/>
    <w:rsid w:val="00DA5A75"/>
    <w:rsid w:val="00DB0F3A"/>
    <w:rsid w:val="00DB7639"/>
    <w:rsid w:val="00DB78CD"/>
    <w:rsid w:val="00DC6AA8"/>
    <w:rsid w:val="00DE4FC6"/>
    <w:rsid w:val="00DF0598"/>
    <w:rsid w:val="00DF2E4B"/>
    <w:rsid w:val="00DF343C"/>
    <w:rsid w:val="00DF6ABE"/>
    <w:rsid w:val="00E040EB"/>
    <w:rsid w:val="00E07CDB"/>
    <w:rsid w:val="00E10A89"/>
    <w:rsid w:val="00E20319"/>
    <w:rsid w:val="00E238FE"/>
    <w:rsid w:val="00E23CEE"/>
    <w:rsid w:val="00E260F4"/>
    <w:rsid w:val="00E26173"/>
    <w:rsid w:val="00E300A8"/>
    <w:rsid w:val="00E322E9"/>
    <w:rsid w:val="00E3446F"/>
    <w:rsid w:val="00E35D6A"/>
    <w:rsid w:val="00E37CAC"/>
    <w:rsid w:val="00E40493"/>
    <w:rsid w:val="00E444F1"/>
    <w:rsid w:val="00E45760"/>
    <w:rsid w:val="00E45ADA"/>
    <w:rsid w:val="00E46656"/>
    <w:rsid w:val="00E47A27"/>
    <w:rsid w:val="00E56CC4"/>
    <w:rsid w:val="00E61704"/>
    <w:rsid w:val="00E63D54"/>
    <w:rsid w:val="00E7024D"/>
    <w:rsid w:val="00E74FF9"/>
    <w:rsid w:val="00E76E3E"/>
    <w:rsid w:val="00E774DE"/>
    <w:rsid w:val="00E814BD"/>
    <w:rsid w:val="00E8199F"/>
    <w:rsid w:val="00E81AF5"/>
    <w:rsid w:val="00E81FBD"/>
    <w:rsid w:val="00E869B9"/>
    <w:rsid w:val="00E875D1"/>
    <w:rsid w:val="00E87C90"/>
    <w:rsid w:val="00E91A01"/>
    <w:rsid w:val="00ED0529"/>
    <w:rsid w:val="00ED3D9E"/>
    <w:rsid w:val="00EE0E4B"/>
    <w:rsid w:val="00EE1168"/>
    <w:rsid w:val="00EE1E22"/>
    <w:rsid w:val="00EE26B3"/>
    <w:rsid w:val="00EE37AA"/>
    <w:rsid w:val="00EE475F"/>
    <w:rsid w:val="00EE4EA9"/>
    <w:rsid w:val="00EF5C43"/>
    <w:rsid w:val="00F01A22"/>
    <w:rsid w:val="00F03974"/>
    <w:rsid w:val="00F04867"/>
    <w:rsid w:val="00F11F1E"/>
    <w:rsid w:val="00F30ACD"/>
    <w:rsid w:val="00F31D9C"/>
    <w:rsid w:val="00F32922"/>
    <w:rsid w:val="00F340F1"/>
    <w:rsid w:val="00F34F6C"/>
    <w:rsid w:val="00F44C3F"/>
    <w:rsid w:val="00F525DE"/>
    <w:rsid w:val="00F62EE1"/>
    <w:rsid w:val="00F72080"/>
    <w:rsid w:val="00F73D1F"/>
    <w:rsid w:val="00F746EA"/>
    <w:rsid w:val="00F80C26"/>
    <w:rsid w:val="00F85CB4"/>
    <w:rsid w:val="00F86586"/>
    <w:rsid w:val="00F90D45"/>
    <w:rsid w:val="00F91DB9"/>
    <w:rsid w:val="00F958FB"/>
    <w:rsid w:val="00F964BE"/>
    <w:rsid w:val="00FA0AFD"/>
    <w:rsid w:val="00FA5190"/>
    <w:rsid w:val="00FA6F70"/>
    <w:rsid w:val="00FB336B"/>
    <w:rsid w:val="00FB66EF"/>
    <w:rsid w:val="00FB6749"/>
    <w:rsid w:val="00FC0576"/>
    <w:rsid w:val="00FC59F6"/>
    <w:rsid w:val="00FC795B"/>
    <w:rsid w:val="00FD22B3"/>
    <w:rsid w:val="00FD3394"/>
    <w:rsid w:val="00FD3EB5"/>
    <w:rsid w:val="00FD5269"/>
    <w:rsid w:val="00FE0509"/>
    <w:rsid w:val="00FE182E"/>
    <w:rsid w:val="00FE27C1"/>
    <w:rsid w:val="00FE317D"/>
    <w:rsid w:val="00FE49C2"/>
    <w:rsid w:val="00FE547B"/>
    <w:rsid w:val="00FF1094"/>
    <w:rsid w:val="00FF473A"/>
    <w:rsid w:val="00FF781E"/>
    <w:rsid w:val="01120E90"/>
    <w:rsid w:val="01253C17"/>
    <w:rsid w:val="0166199F"/>
    <w:rsid w:val="02C5720F"/>
    <w:rsid w:val="030A0D2E"/>
    <w:rsid w:val="03FB258C"/>
    <w:rsid w:val="05552C82"/>
    <w:rsid w:val="05BE124C"/>
    <w:rsid w:val="06DC1721"/>
    <w:rsid w:val="06F22694"/>
    <w:rsid w:val="07787854"/>
    <w:rsid w:val="07976DDA"/>
    <w:rsid w:val="07AF3E6C"/>
    <w:rsid w:val="07E453F4"/>
    <w:rsid w:val="09577B91"/>
    <w:rsid w:val="09EB2EA7"/>
    <w:rsid w:val="0A754EF8"/>
    <w:rsid w:val="0BF00DD2"/>
    <w:rsid w:val="0C2027DD"/>
    <w:rsid w:val="0D1159B2"/>
    <w:rsid w:val="0D477751"/>
    <w:rsid w:val="0D4B4B17"/>
    <w:rsid w:val="0DAE6959"/>
    <w:rsid w:val="0EE560AD"/>
    <w:rsid w:val="0F0160EF"/>
    <w:rsid w:val="0F0A3B63"/>
    <w:rsid w:val="10A16216"/>
    <w:rsid w:val="10E45B35"/>
    <w:rsid w:val="10F13F8F"/>
    <w:rsid w:val="112B490D"/>
    <w:rsid w:val="119958EE"/>
    <w:rsid w:val="129F04C2"/>
    <w:rsid w:val="13593EAD"/>
    <w:rsid w:val="135E0376"/>
    <w:rsid w:val="139A10C2"/>
    <w:rsid w:val="13C85980"/>
    <w:rsid w:val="13DE2EA1"/>
    <w:rsid w:val="145E2E6E"/>
    <w:rsid w:val="150544BC"/>
    <w:rsid w:val="17BC0291"/>
    <w:rsid w:val="19204015"/>
    <w:rsid w:val="1A47048B"/>
    <w:rsid w:val="1B5C402F"/>
    <w:rsid w:val="1BA547F4"/>
    <w:rsid w:val="1BF5362C"/>
    <w:rsid w:val="1C573991"/>
    <w:rsid w:val="1DDB2631"/>
    <w:rsid w:val="1DF83FD1"/>
    <w:rsid w:val="1E6857A7"/>
    <w:rsid w:val="1E9E6D19"/>
    <w:rsid w:val="1ED41661"/>
    <w:rsid w:val="1EF1563C"/>
    <w:rsid w:val="1FD56595"/>
    <w:rsid w:val="2038774B"/>
    <w:rsid w:val="21692493"/>
    <w:rsid w:val="21BC46AA"/>
    <w:rsid w:val="223C66C8"/>
    <w:rsid w:val="22876E5A"/>
    <w:rsid w:val="22896D2E"/>
    <w:rsid w:val="22F42933"/>
    <w:rsid w:val="23FA417C"/>
    <w:rsid w:val="247A01D7"/>
    <w:rsid w:val="2573633E"/>
    <w:rsid w:val="25F71749"/>
    <w:rsid w:val="2661701D"/>
    <w:rsid w:val="279D6DB8"/>
    <w:rsid w:val="27B94C64"/>
    <w:rsid w:val="27D31783"/>
    <w:rsid w:val="27F871E0"/>
    <w:rsid w:val="28B43F29"/>
    <w:rsid w:val="28F6025A"/>
    <w:rsid w:val="29E452D6"/>
    <w:rsid w:val="2A7904E6"/>
    <w:rsid w:val="2A8C6406"/>
    <w:rsid w:val="2A8E0BF9"/>
    <w:rsid w:val="2ABA7477"/>
    <w:rsid w:val="2B416213"/>
    <w:rsid w:val="2B950DDB"/>
    <w:rsid w:val="2BA00F7A"/>
    <w:rsid w:val="2C1C02DD"/>
    <w:rsid w:val="2C6D24B9"/>
    <w:rsid w:val="2C717613"/>
    <w:rsid w:val="2D57360B"/>
    <w:rsid w:val="2D882D8D"/>
    <w:rsid w:val="2DD2507D"/>
    <w:rsid w:val="2FDE4D46"/>
    <w:rsid w:val="30720A3C"/>
    <w:rsid w:val="309554D0"/>
    <w:rsid w:val="31485CB7"/>
    <w:rsid w:val="32005602"/>
    <w:rsid w:val="32BC6D24"/>
    <w:rsid w:val="330E0D39"/>
    <w:rsid w:val="332633C9"/>
    <w:rsid w:val="33C80304"/>
    <w:rsid w:val="341047CB"/>
    <w:rsid w:val="3467384C"/>
    <w:rsid w:val="35E25613"/>
    <w:rsid w:val="36532AAA"/>
    <w:rsid w:val="37D66F90"/>
    <w:rsid w:val="38166822"/>
    <w:rsid w:val="382165AE"/>
    <w:rsid w:val="384F0050"/>
    <w:rsid w:val="39500581"/>
    <w:rsid w:val="39527176"/>
    <w:rsid w:val="398A48E3"/>
    <w:rsid w:val="3A126518"/>
    <w:rsid w:val="3C093A18"/>
    <w:rsid w:val="3C91245F"/>
    <w:rsid w:val="3C9E681E"/>
    <w:rsid w:val="3E2A51F0"/>
    <w:rsid w:val="3F050F23"/>
    <w:rsid w:val="3FD547B4"/>
    <w:rsid w:val="40B24624"/>
    <w:rsid w:val="40BC093C"/>
    <w:rsid w:val="41A67DC0"/>
    <w:rsid w:val="41D0766B"/>
    <w:rsid w:val="426F3662"/>
    <w:rsid w:val="42F62861"/>
    <w:rsid w:val="434B0295"/>
    <w:rsid w:val="434E4C33"/>
    <w:rsid w:val="447C60ED"/>
    <w:rsid w:val="45CD4627"/>
    <w:rsid w:val="45D757EE"/>
    <w:rsid w:val="46000904"/>
    <w:rsid w:val="4648298B"/>
    <w:rsid w:val="464C4127"/>
    <w:rsid w:val="46FF3E43"/>
    <w:rsid w:val="47230AE9"/>
    <w:rsid w:val="47343101"/>
    <w:rsid w:val="477459D5"/>
    <w:rsid w:val="477A42A5"/>
    <w:rsid w:val="47965A0F"/>
    <w:rsid w:val="47DD0EA1"/>
    <w:rsid w:val="48102525"/>
    <w:rsid w:val="4A427942"/>
    <w:rsid w:val="4ACE33B8"/>
    <w:rsid w:val="4B4F6A6B"/>
    <w:rsid w:val="4C437D5F"/>
    <w:rsid w:val="4CA114A1"/>
    <w:rsid w:val="4D1C7A42"/>
    <w:rsid w:val="4D2A01C5"/>
    <w:rsid w:val="4D6D7A68"/>
    <w:rsid w:val="4EBA73D0"/>
    <w:rsid w:val="4F8C06C7"/>
    <w:rsid w:val="503D156B"/>
    <w:rsid w:val="507B2BDF"/>
    <w:rsid w:val="51355481"/>
    <w:rsid w:val="524E4864"/>
    <w:rsid w:val="526D3877"/>
    <w:rsid w:val="53052414"/>
    <w:rsid w:val="54D553CE"/>
    <w:rsid w:val="54FC409C"/>
    <w:rsid w:val="55AA1743"/>
    <w:rsid w:val="55C64A8D"/>
    <w:rsid w:val="55F91172"/>
    <w:rsid w:val="573F0F18"/>
    <w:rsid w:val="578954C0"/>
    <w:rsid w:val="57CF764B"/>
    <w:rsid w:val="57DB2901"/>
    <w:rsid w:val="5815695E"/>
    <w:rsid w:val="58182123"/>
    <w:rsid w:val="58325475"/>
    <w:rsid w:val="594C7FF3"/>
    <w:rsid w:val="59520B23"/>
    <w:rsid w:val="59BD4349"/>
    <w:rsid w:val="59F22C5F"/>
    <w:rsid w:val="5A667001"/>
    <w:rsid w:val="5AAA2F36"/>
    <w:rsid w:val="5BCF4055"/>
    <w:rsid w:val="5C3D018E"/>
    <w:rsid w:val="5D4D2100"/>
    <w:rsid w:val="5DCE5305"/>
    <w:rsid w:val="5E5A2BA0"/>
    <w:rsid w:val="5F722F63"/>
    <w:rsid w:val="5FAB3444"/>
    <w:rsid w:val="5FAE48BE"/>
    <w:rsid w:val="5FB86FB0"/>
    <w:rsid w:val="5FF55D7D"/>
    <w:rsid w:val="61C06D06"/>
    <w:rsid w:val="62F10DE4"/>
    <w:rsid w:val="63BA0526"/>
    <w:rsid w:val="6402426E"/>
    <w:rsid w:val="64103EB6"/>
    <w:rsid w:val="64CF4E70"/>
    <w:rsid w:val="66B02688"/>
    <w:rsid w:val="6780355C"/>
    <w:rsid w:val="67912C3F"/>
    <w:rsid w:val="67A71520"/>
    <w:rsid w:val="683744EC"/>
    <w:rsid w:val="68CD5E96"/>
    <w:rsid w:val="6913051D"/>
    <w:rsid w:val="693D49EA"/>
    <w:rsid w:val="69CB238F"/>
    <w:rsid w:val="6A1471CF"/>
    <w:rsid w:val="6A447BE5"/>
    <w:rsid w:val="6A85380D"/>
    <w:rsid w:val="6AAA4AD1"/>
    <w:rsid w:val="6AE23171"/>
    <w:rsid w:val="6C18112C"/>
    <w:rsid w:val="6C7E4B9A"/>
    <w:rsid w:val="6C7F0805"/>
    <w:rsid w:val="6D6D067D"/>
    <w:rsid w:val="6D791040"/>
    <w:rsid w:val="6D8C099C"/>
    <w:rsid w:val="6E23278C"/>
    <w:rsid w:val="6E2A0AB3"/>
    <w:rsid w:val="6E465A08"/>
    <w:rsid w:val="6EF22262"/>
    <w:rsid w:val="6FBC6F73"/>
    <w:rsid w:val="6FD00FAB"/>
    <w:rsid w:val="70274BC7"/>
    <w:rsid w:val="703C37EB"/>
    <w:rsid w:val="71BA5843"/>
    <w:rsid w:val="72904DBD"/>
    <w:rsid w:val="73931880"/>
    <w:rsid w:val="74EE1125"/>
    <w:rsid w:val="75540F42"/>
    <w:rsid w:val="75677631"/>
    <w:rsid w:val="763D16B7"/>
    <w:rsid w:val="77FC50D2"/>
    <w:rsid w:val="780905C4"/>
    <w:rsid w:val="7811502E"/>
    <w:rsid w:val="78531C8D"/>
    <w:rsid w:val="786B7751"/>
    <w:rsid w:val="78703F70"/>
    <w:rsid w:val="78A21351"/>
    <w:rsid w:val="7903696E"/>
    <w:rsid w:val="798A629A"/>
    <w:rsid w:val="7A4D4A06"/>
    <w:rsid w:val="7B305627"/>
    <w:rsid w:val="7CDF5763"/>
    <w:rsid w:val="7D721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qFormat/>
    <w:uiPriority w:val="9"/>
    <w:pPr>
      <w:spacing w:beforeAutospacing="1" w:afterAutospacing="1"/>
      <w:jc w:val="left"/>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unhideWhenUsed/>
    <w:qFormat/>
    <w:locked/>
    <w:uiPriority w:val="0"/>
    <w:rPr>
      <w:rFonts w:eastAsia="黑体" w:asciiTheme="majorHAnsi" w:hAnsiTheme="majorHAnsi" w:cstheme="majorBidi"/>
      <w:sz w:val="20"/>
      <w:szCs w:val="20"/>
    </w:rPr>
  </w:style>
  <w:style w:type="paragraph" w:styleId="4">
    <w:name w:val="Date"/>
    <w:basedOn w:val="1"/>
    <w:next w:val="1"/>
    <w:link w:val="23"/>
    <w:semiHidden/>
    <w:unhideWhenUsed/>
    <w:qFormat/>
    <w:uiPriority w:val="99"/>
    <w:pPr>
      <w:ind w:left="100" w:leftChars="2500"/>
    </w:pPr>
  </w:style>
  <w:style w:type="paragraph" w:styleId="5">
    <w:name w:val="Balloon Text"/>
    <w:basedOn w:val="1"/>
    <w:link w:val="18"/>
    <w:qFormat/>
    <w:uiPriority w:val="99"/>
    <w:rPr>
      <w:sz w:val="18"/>
      <w:szCs w:val="18"/>
    </w:r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basedOn w:val="1"/>
    <w:link w:val="20"/>
    <w:qFormat/>
    <w:uiPriority w:val="99"/>
    <w:pPr>
      <w:pBdr>
        <w:bottom w:val="single" w:color="auto" w:sz="6" w:space="6"/>
      </w:pBdr>
      <w:tabs>
        <w:tab w:val="center" w:pos="4153"/>
        <w:tab w:val="right" w:pos="8306"/>
      </w:tabs>
      <w:snapToGrid w:val="0"/>
      <w:jc w:val="left"/>
    </w:pPr>
    <w:rPr>
      <w:sz w:val="15"/>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0">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0"/>
    <w:rPr>
      <w:rFonts w:cs="Times New Roman"/>
      <w:b/>
    </w:rPr>
  </w:style>
  <w:style w:type="character" w:styleId="13">
    <w:name w:val="Emphasis"/>
    <w:qFormat/>
    <w:uiPriority w:val="99"/>
    <w:rPr>
      <w:rFonts w:cs="Times New Roman"/>
      <w:i/>
    </w:rPr>
  </w:style>
  <w:style w:type="character" w:styleId="14">
    <w:name w:val="Hyperlink"/>
    <w:basedOn w:val="11"/>
    <w:qFormat/>
    <w:uiPriority w:val="99"/>
    <w:rPr>
      <w:rFonts w:ascii="宋体" w:hAnsi="宋体" w:eastAsia="宋体" w:cs="宋体"/>
      <w:color w:val="3D3D3D"/>
      <w:u w:val="none"/>
    </w:rPr>
  </w:style>
  <w:style w:type="character" w:customStyle="1" w:styleId="15">
    <w:name w:val="访问过的超链接1"/>
    <w:qFormat/>
    <w:uiPriority w:val="99"/>
    <w:rPr>
      <w:rFonts w:ascii="宋体" w:hAnsi="宋体" w:eastAsia="宋体" w:cs="宋体"/>
      <w:color w:val="3D3D3D"/>
      <w:u w:val="none"/>
    </w:rPr>
  </w:style>
  <w:style w:type="character" w:customStyle="1" w:styleId="16">
    <w:name w:val="无间隔 字符"/>
    <w:link w:val="17"/>
    <w:qFormat/>
    <w:uiPriority w:val="1"/>
    <w:rPr>
      <w:rFonts w:ascii="Goudy Old Style" w:hAnsi="Goudy Old Style"/>
      <w:sz w:val="22"/>
      <w:szCs w:val="22"/>
      <w:lang w:val="en-US" w:eastAsia="zh-CN" w:bidi="ar-SA"/>
    </w:rPr>
  </w:style>
  <w:style w:type="paragraph" w:styleId="17">
    <w:name w:val="No Spacing"/>
    <w:link w:val="16"/>
    <w:qFormat/>
    <w:uiPriority w:val="1"/>
    <w:rPr>
      <w:rFonts w:ascii="Goudy Old Style" w:hAnsi="Goudy Old Style" w:eastAsia="宋体" w:cs="Times New Roman"/>
      <w:sz w:val="22"/>
      <w:szCs w:val="22"/>
      <w:lang w:val="en-US" w:eastAsia="zh-CN" w:bidi="ar-SA"/>
    </w:rPr>
  </w:style>
  <w:style w:type="character" w:customStyle="1" w:styleId="18">
    <w:name w:val="批注框文本 字符"/>
    <w:link w:val="5"/>
    <w:qFormat/>
    <w:locked/>
    <w:uiPriority w:val="99"/>
    <w:rPr>
      <w:rFonts w:ascii="Calibri" w:hAnsi="Calibri" w:eastAsia="宋体" w:cs="Times New Roman"/>
      <w:kern w:val="2"/>
      <w:sz w:val="18"/>
      <w:szCs w:val="18"/>
    </w:rPr>
  </w:style>
  <w:style w:type="character" w:customStyle="1" w:styleId="19">
    <w:name w:val="页脚 字符"/>
    <w:link w:val="6"/>
    <w:qFormat/>
    <w:locked/>
    <w:uiPriority w:val="99"/>
    <w:rPr>
      <w:rFonts w:ascii="Calibri" w:hAnsi="Calibri" w:eastAsia="宋体" w:cs="Times New Roman"/>
      <w:kern w:val="2"/>
      <w:sz w:val="18"/>
      <w:szCs w:val="18"/>
    </w:rPr>
  </w:style>
  <w:style w:type="character" w:customStyle="1" w:styleId="20">
    <w:name w:val="页眉 字符"/>
    <w:link w:val="7"/>
    <w:qFormat/>
    <w:locked/>
    <w:uiPriority w:val="99"/>
    <w:rPr>
      <w:rFonts w:ascii="Calibri" w:hAnsi="Calibri"/>
      <w:kern w:val="2"/>
      <w:sz w:val="15"/>
      <w:szCs w:val="18"/>
    </w:rPr>
  </w:style>
  <w:style w:type="character" w:customStyle="1" w:styleId="21">
    <w:name w:val="标题 1 字符"/>
    <w:link w:val="2"/>
    <w:qFormat/>
    <w:uiPriority w:val="9"/>
    <w:rPr>
      <w:rFonts w:ascii="Calibri" w:hAnsi="Calibri"/>
      <w:b/>
      <w:bCs/>
      <w:kern w:val="44"/>
      <w:sz w:val="44"/>
      <w:szCs w:val="44"/>
    </w:rPr>
  </w:style>
  <w:style w:type="paragraph" w:styleId="22">
    <w:name w:val="List Paragraph"/>
    <w:basedOn w:val="1"/>
    <w:qFormat/>
    <w:uiPriority w:val="99"/>
    <w:pPr>
      <w:ind w:firstLine="420" w:firstLineChars="200"/>
    </w:pPr>
  </w:style>
  <w:style w:type="character" w:customStyle="1" w:styleId="23">
    <w:name w:val="日期 字符"/>
    <w:basedOn w:val="11"/>
    <w:link w:val="4"/>
    <w:semiHidden/>
    <w:qFormat/>
    <w:uiPriority w:val="99"/>
    <w:rPr>
      <w:rFonts w:ascii="Calibri" w:hAnsi="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chart" Target="charts/chart5.xml"/><Relationship Id="rId45" Type="http://schemas.openxmlformats.org/officeDocument/2006/relationships/chart" Target="charts/chart4.xml"/><Relationship Id="rId44" Type="http://schemas.openxmlformats.org/officeDocument/2006/relationships/chart" Target="charts/chart3.xml"/><Relationship Id="rId43" Type="http://schemas.openxmlformats.org/officeDocument/2006/relationships/chart" Target="charts/chart2.xml"/><Relationship Id="rId42" Type="http://schemas.openxmlformats.org/officeDocument/2006/relationships/chart" Target="charts/chart1.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办理结果</a:t>
            </a:r>
          </a:p>
        </c:rich>
      </c:tx>
      <c:layout>
        <c:manualLayout>
          <c:xMode val="edge"/>
          <c:yMode val="edge"/>
          <c:x val="0.315508021390374"/>
          <c:y val="0.0178326474622771"/>
        </c:manualLayout>
      </c:layout>
      <c:overlay val="0"/>
      <c:spPr>
        <a:noFill/>
        <a:ln>
          <a:noFill/>
        </a:ln>
        <a:effectLst/>
      </c:spPr>
    </c:title>
    <c:autoTitleDeleted val="0"/>
    <c:plotArea>
      <c:layout>
        <c:manualLayout>
          <c:layoutTarget val="inner"/>
          <c:xMode val="edge"/>
          <c:yMode val="edge"/>
          <c:x val="0.184325021069058"/>
          <c:y val="0.333682949350905"/>
          <c:w val="0.621016505965027"/>
          <c:h val="0.844444444444444"/>
        </c:manualLayout>
      </c:layout>
      <c:pieChart>
        <c:varyColors val="1"/>
        <c:ser>
          <c:idx val="0"/>
          <c:order val="0"/>
          <c:tx>
            <c:strRef>
              <c:f>Sheet1!$B$1</c:f>
              <c:strCache>
                <c:ptCount val="1"/>
                <c:pt idx="0">
                  <c:v>办理结果</c:v>
                </c:pt>
              </c:strCache>
            </c:strRef>
          </c:tx>
          <c:spPr/>
          <c:explosion val="0"/>
          <c:dPt>
            <c:idx val="0"/>
            <c:bubble3D val="0"/>
            <c:explosion val="1"/>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explosion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dLbl>
              <c:idx val="0"/>
              <c:layout>
                <c:manualLayout>
                  <c:x val="-0.00488347212689532"/>
                  <c:y val="-0.23302012430175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567108472680631"/>
                  <c:y val="0.058356760341671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51868330224502"/>
                  <c:y val="0.013933793772465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00296351716216212"/>
                  <c:y val="-0.19006942505985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50226245195935"/>
                  <c:y val="-0.084004794105854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228133159753782"/>
                  <c:y val="-0.040432282742919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6"/>
                <c:pt idx="0">
                  <c:v>予以公开</c:v>
                </c:pt>
                <c:pt idx="1">
                  <c:v>部分公开</c:v>
                </c:pt>
                <c:pt idx="2">
                  <c:v>不予公开</c:v>
                </c:pt>
                <c:pt idx="3">
                  <c:v>无法提供</c:v>
                </c:pt>
                <c:pt idx="4">
                  <c:v>不予处理</c:v>
                </c:pt>
                <c:pt idx="5">
                  <c:v>其他处理</c:v>
                </c:pt>
              </c:strCache>
            </c:strRef>
          </c:cat>
          <c:val>
            <c:numRef>
              <c:f>Sheet1!$B$2:$B$7</c:f>
              <c:numCache>
                <c:formatCode>General</c:formatCode>
                <c:ptCount val="6"/>
                <c:pt idx="0">
                  <c:v>504</c:v>
                </c:pt>
                <c:pt idx="1">
                  <c:v>112</c:v>
                </c:pt>
                <c:pt idx="2">
                  <c:v>143</c:v>
                </c:pt>
                <c:pt idx="3">
                  <c:v>460</c:v>
                </c:pt>
                <c:pt idx="4">
                  <c:v>12</c:v>
                </c:pt>
                <c:pt idx="5">
                  <c:v>141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67379679144385"/>
          <c:y val="0.7019890260631"/>
        </c:manualLayout>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12700" cap="flat" cmpd="sng" algn="ctr">
      <a:solidFill>
        <a:schemeClr val="tx1"/>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baseline="0">
                <a:solidFill>
                  <a:schemeClr val="tx2"/>
                </a:solidFill>
                <a:latin typeface="+mn-lt"/>
                <a:ea typeface="+mn-ea"/>
                <a:cs typeface="+mn-cs"/>
              </a:defRPr>
            </a:pPr>
            <a:r>
              <a:t>政府信息公开申请历年数据统计表</a:t>
            </a:r>
          </a:p>
        </c:rich>
      </c:tx>
      <c:layout/>
      <c:overlay val="0"/>
      <c:spPr>
        <a:noFill/>
        <a:ln>
          <a:noFill/>
        </a:ln>
        <a:effectLst/>
      </c:spPr>
    </c:title>
    <c:autoTitleDeleted val="0"/>
    <c:plotArea>
      <c:layout>
        <c:manualLayout>
          <c:layoutTarget val="inner"/>
          <c:xMode val="edge"/>
          <c:yMode val="edge"/>
          <c:x val="0.0553025537803497"/>
          <c:y val="0.215620641562064"/>
          <c:w val="0.893118631274374"/>
          <c:h val="0.639163179916318"/>
        </c:manualLayout>
      </c:layout>
      <c:barChart>
        <c:barDir val="col"/>
        <c:grouping val="clustered"/>
        <c:varyColors val="0"/>
        <c:ser>
          <c:idx val="0"/>
          <c:order val="0"/>
          <c:tx>
            <c:strRef>
              <c:f>Sheet1!$B$1</c:f>
              <c:strCache>
                <c:ptCount val="1"/>
                <c:pt idx="0">
                  <c:v>系列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Sheet1!$A$2:$A$12</c:f>
              <c:strCache>
                <c:ptCount val="11"/>
                <c:pt idx="0">
                  <c:v>2009年</c:v>
                </c:pt>
                <c:pt idx="1">
                  <c:v>2010年</c:v>
                </c:pt>
                <c:pt idx="2">
                  <c:v>2011年</c:v>
                </c:pt>
                <c:pt idx="3">
                  <c:v>2012年</c:v>
                </c:pt>
                <c:pt idx="4">
                  <c:v>2013年</c:v>
                </c:pt>
                <c:pt idx="5">
                  <c:v>2014年</c:v>
                </c:pt>
                <c:pt idx="6">
                  <c:v>2015年</c:v>
                </c:pt>
                <c:pt idx="7">
                  <c:v>2016年</c:v>
                </c:pt>
                <c:pt idx="8">
                  <c:v>2017年</c:v>
                </c:pt>
                <c:pt idx="9">
                  <c:v>2018年</c:v>
                </c:pt>
                <c:pt idx="10">
                  <c:v>2019年</c:v>
                </c:pt>
              </c:strCache>
            </c:strRef>
          </c:cat>
          <c:val>
            <c:numRef>
              <c:f>Sheet1!$B$2:$B$12</c:f>
              <c:numCache>
                <c:formatCode>General</c:formatCode>
                <c:ptCount val="11"/>
                <c:pt idx="0">
                  <c:v>4</c:v>
                </c:pt>
                <c:pt idx="1">
                  <c:v>5</c:v>
                </c:pt>
                <c:pt idx="2">
                  <c:v>9</c:v>
                </c:pt>
                <c:pt idx="3">
                  <c:v>22</c:v>
                </c:pt>
                <c:pt idx="4">
                  <c:v>105</c:v>
                </c:pt>
                <c:pt idx="5">
                  <c:v>288</c:v>
                </c:pt>
                <c:pt idx="6">
                  <c:v>376</c:v>
                </c:pt>
                <c:pt idx="7">
                  <c:v>555</c:v>
                </c:pt>
                <c:pt idx="8">
                  <c:v>1416</c:v>
                </c:pt>
                <c:pt idx="9">
                  <c:v>1025</c:v>
                </c:pt>
                <c:pt idx="10">
                  <c:v>1357</c:v>
                </c:pt>
              </c:numCache>
            </c:numRef>
          </c:val>
        </c:ser>
        <c:dLbls>
          <c:showLegendKey val="0"/>
          <c:showVal val="0"/>
          <c:showCatName val="0"/>
          <c:showSerName val="0"/>
          <c:showPercent val="0"/>
          <c:showBubbleSize val="0"/>
        </c:dLbls>
        <c:gapWidth val="219"/>
        <c:overlap val="-27"/>
        <c:axId val="410521926"/>
        <c:axId val="598275621"/>
      </c:barChart>
      <c:catAx>
        <c:axId val="410521926"/>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crossAx val="598275621"/>
        <c:crosses val="autoZero"/>
        <c:auto val="1"/>
        <c:lblAlgn val="ctr"/>
        <c:lblOffset val="100"/>
        <c:noMultiLvlLbl val="0"/>
      </c:catAx>
      <c:valAx>
        <c:axId val="59827562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crossAx val="410521926"/>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申请人情况</a:t>
            </a:r>
          </a:p>
        </c:rich>
      </c:tx>
      <c:layout>
        <c:manualLayout>
          <c:xMode val="edge"/>
          <c:yMode val="edge"/>
          <c:x val="0.241310160427807"/>
          <c:y val="0.0178326474622771"/>
        </c:manualLayout>
      </c:layout>
      <c:overlay val="0"/>
      <c:spPr>
        <a:noFill/>
        <a:ln>
          <a:noFill/>
        </a:ln>
        <a:effectLst/>
      </c:spPr>
    </c:title>
    <c:autoTitleDeleted val="0"/>
    <c:plotArea>
      <c:layout>
        <c:manualLayout>
          <c:layoutTarget val="inner"/>
          <c:xMode val="edge"/>
          <c:yMode val="edge"/>
          <c:x val="0.0691289426376859"/>
          <c:y val="0.148888888888889"/>
          <c:w val="0.621016505965027"/>
          <c:h val="0.844444444444444"/>
        </c:manualLayout>
      </c:layout>
      <c:pieChart>
        <c:varyColors val="1"/>
        <c:ser>
          <c:idx val="0"/>
          <c:order val="0"/>
          <c:tx>
            <c:strRef>
              <c:f>Sheet1!$B$1</c:f>
              <c:strCache>
                <c:ptCount val="1"/>
                <c:pt idx="0">
                  <c:v>申请人情况</c:v>
                </c:pt>
              </c:strCache>
            </c:strRef>
          </c:tx>
          <c:spPr/>
          <c:explosion val="0"/>
          <c:dPt>
            <c:idx val="0"/>
            <c:bubble3D val="0"/>
            <c:explosion val="1"/>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dLbl>
              <c:idx val="0"/>
              <c:layout>
                <c:manualLayout>
                  <c:x val="-0.368742652162546"/>
                  <c:y val="0.046633727036093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1241494708981"/>
                  <c:y val="-0.093049275323623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636396911658722"/>
                  <c:y val="-0.071800088257712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37435125799566"/>
                  <c:y val="-0.064383554003611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466306731631158"/>
                  <c:y val="-0.061110204520991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自然人</c:v>
                </c:pt>
                <c:pt idx="1">
                  <c:v>商业企业</c:v>
                </c:pt>
                <c:pt idx="2">
                  <c:v>科研机构</c:v>
                </c:pt>
                <c:pt idx="3">
                  <c:v>社会公益组织</c:v>
                </c:pt>
                <c:pt idx="4">
                  <c:v>法律服务机构</c:v>
                </c:pt>
              </c:strCache>
            </c:strRef>
          </c:cat>
          <c:val>
            <c:numRef>
              <c:f>Sheet1!$B$2:$B$6</c:f>
              <c:numCache>
                <c:formatCode>General</c:formatCode>
                <c:ptCount val="5"/>
                <c:pt idx="0">
                  <c:v>1223</c:v>
                </c:pt>
                <c:pt idx="1">
                  <c:v>72</c:v>
                </c:pt>
                <c:pt idx="2">
                  <c:v>27</c:v>
                </c:pt>
                <c:pt idx="3">
                  <c:v>21</c:v>
                </c:pt>
                <c:pt idx="4">
                  <c:v>14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87165775401069"/>
          <c:y val="0.734800069097127"/>
        </c:manualLayout>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12700" cap="flat" cmpd="sng" algn="ctr">
      <a:solidFill>
        <a:schemeClr val="tx1"/>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rPr sz="1500"/>
              <a:t>被提起行政复议结果统计</a:t>
            </a:r>
            <a:endParaRPr sz="1500"/>
          </a:p>
        </c:rich>
      </c:tx>
      <c:layout>
        <c:manualLayout>
          <c:xMode val="edge"/>
          <c:yMode val="edge"/>
          <c:x val="0.144962833185531"/>
          <c:y val="0.0579080495265071"/>
        </c:manualLayout>
      </c:layout>
      <c:overlay val="0"/>
      <c:spPr>
        <a:noFill/>
        <a:ln>
          <a:noFill/>
        </a:ln>
        <a:effectLst/>
      </c:spPr>
    </c:title>
    <c:autoTitleDeleted val="0"/>
    <c:plotArea>
      <c:layout>
        <c:manualLayout>
          <c:layoutTarget val="inner"/>
          <c:xMode val="edge"/>
          <c:yMode val="edge"/>
          <c:x val="0.0691289426376859"/>
          <c:y val="0.148888888888889"/>
          <c:w val="0.621016505965027"/>
          <c:h val="0.844444444444444"/>
        </c:manualLayout>
      </c:layout>
      <c:pieChart>
        <c:varyColors val="1"/>
        <c:ser>
          <c:idx val="0"/>
          <c:order val="0"/>
          <c:tx>
            <c:strRef>
              <c:f>Sheet1!$B$1</c:f>
              <c:strCache>
                <c:ptCount val="1"/>
                <c:pt idx="0">
                  <c:v>申请人情况</c:v>
                </c:pt>
              </c:strCache>
            </c:strRef>
          </c:tx>
          <c:spPr/>
          <c:explosion val="0"/>
          <c:dPt>
            <c:idx val="0"/>
            <c:bubble3D val="0"/>
            <c:explosion val="1"/>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layout>
                <c:manualLayout>
                  <c:x val="0.0988218820686549"/>
                  <c:y val="0.012098909145925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247095081769945"/>
                  <c:y val="-0.0053732979795317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3794353079074"/>
                  <c:y val="-0.288822167895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97367785732226"/>
                  <c:y val="-0.064383554003611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结果维持</c:v>
                </c:pt>
                <c:pt idx="1">
                  <c:v>结果纠正</c:v>
                </c:pt>
                <c:pt idx="2">
                  <c:v>其他结果</c:v>
                </c:pt>
                <c:pt idx="3">
                  <c:v>尚未审结</c:v>
                </c:pt>
              </c:strCache>
            </c:strRef>
          </c:cat>
          <c:val>
            <c:numRef>
              <c:f>Sheet1!$B$2:$B$5</c:f>
              <c:numCache>
                <c:formatCode>General</c:formatCode>
                <c:ptCount val="4"/>
                <c:pt idx="0">
                  <c:v>24</c:v>
                </c:pt>
                <c:pt idx="1">
                  <c:v>27</c:v>
                </c:pt>
                <c:pt idx="2">
                  <c:v>12</c:v>
                </c:pt>
                <c:pt idx="3">
                  <c:v>10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65656565656566"/>
          <c:y val="0.763107296875953"/>
        </c:manualLayout>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12700" cap="flat" cmpd="sng" algn="ctr">
      <a:solidFill>
        <a:schemeClr val="tx1"/>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rPr sz="1500"/>
              <a:t>被提起行政诉讼结果统计</a:t>
            </a:r>
            <a:endParaRPr sz="1500"/>
          </a:p>
        </c:rich>
      </c:tx>
      <c:layout>
        <c:manualLayout>
          <c:xMode val="edge"/>
          <c:yMode val="edge"/>
          <c:x val="0.296221048354327"/>
          <c:y val="0.0534943402486089"/>
        </c:manualLayout>
      </c:layout>
      <c:overlay val="0"/>
      <c:spPr>
        <a:noFill/>
        <a:ln>
          <a:noFill/>
        </a:ln>
        <a:effectLst/>
      </c:spPr>
    </c:title>
    <c:autoTitleDeleted val="0"/>
    <c:plotArea>
      <c:layout>
        <c:manualLayout>
          <c:layoutTarget val="inner"/>
          <c:xMode val="edge"/>
          <c:yMode val="edge"/>
          <c:x val="0.0691289426376859"/>
          <c:y val="0.148888888888889"/>
          <c:w val="0.621016505965027"/>
          <c:h val="0.844444444444444"/>
        </c:manualLayout>
      </c:layout>
      <c:pieChart>
        <c:varyColors val="1"/>
        <c:ser>
          <c:idx val="0"/>
          <c:order val="0"/>
          <c:tx>
            <c:strRef>
              <c:f>Sheet1!$B$1</c:f>
              <c:strCache>
                <c:ptCount val="1"/>
                <c:pt idx="0">
                  <c:v>申请人情况</c:v>
                </c:pt>
              </c:strCache>
            </c:strRef>
          </c:tx>
          <c:spPr/>
          <c:explosion val="0"/>
          <c:dPt>
            <c:idx val="0"/>
            <c:bubble3D val="0"/>
            <c:explosion val="1"/>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layout>
                <c:manualLayout>
                  <c:x val="0.0832650617309581"/>
                  <c:y val="-0.082017563617354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28070552896935"/>
                  <c:y val="-0.37617678968043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6235053502783"/>
                  <c:y val="-0.17668240382191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07526257898012"/>
                  <c:y val="-0.012121347045272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结果维持</c:v>
                </c:pt>
                <c:pt idx="1">
                  <c:v>结果纠正</c:v>
                </c:pt>
                <c:pt idx="2">
                  <c:v>其他结果</c:v>
                </c:pt>
                <c:pt idx="3">
                  <c:v>尚未审结</c:v>
                </c:pt>
              </c:strCache>
            </c:strRef>
          </c:cat>
          <c:val>
            <c:numRef>
              <c:f>Sheet1!$B$2:$B$5</c:f>
              <c:numCache>
                <c:formatCode>General</c:formatCode>
                <c:ptCount val="4"/>
                <c:pt idx="0">
                  <c:v>42</c:v>
                </c:pt>
                <c:pt idx="1">
                  <c:v>7</c:v>
                </c:pt>
                <c:pt idx="2">
                  <c:v>5</c:v>
                </c:pt>
                <c:pt idx="3">
                  <c:v>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65656565656566"/>
          <c:y val="0.763107296875953"/>
        </c:manualLayout>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12700" cap="flat" cmpd="sng" algn="ctr">
      <a:solidFill>
        <a:schemeClr val="tx1"/>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26</Pages>
  <Words>8668</Words>
  <Characters>9046</Characters>
  <Lines>100</Lines>
  <Paragraphs>28</Paragraphs>
  <TotalTime>18</TotalTime>
  <ScaleCrop>false</ScaleCrop>
  <LinksUpToDate>false</LinksUpToDate>
  <CharactersWithSpaces>9392</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2018-02-06T08:15:00Z</dcterms:created>
  <dc:creator>Administrator</dc:creator>
  <cp:lastModifiedBy>董柏</cp:lastModifiedBy>
  <cp:lastPrinted>2018-02-06T03:32:00Z</cp:lastPrinted>
  <dcterms:modified xsi:type="dcterms:W3CDTF">2021-05-26T07:32:38Z</dcterms:modified>
  <dc:title>淄博市2016年政务公开情况报告</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