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8"/>
        </w:rPr>
      </w:pPr>
      <w:r>
        <w:rPr>
          <w:rFonts w:hint="eastAsia" w:ascii="方正小标宋_GBK" w:hAnsi="方正小标宋_GBK" w:eastAsia="方正小标宋_GBK" w:cs="方正小标宋_GBK"/>
          <w:color w:val="auto"/>
          <w:sz w:val="40"/>
          <w:szCs w:val="48"/>
        </w:rPr>
        <w:t>淄博市公共资源交易中心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8"/>
        </w:rPr>
      </w:pPr>
      <w:r>
        <w:rPr>
          <w:rFonts w:hint="eastAsia" w:ascii="方正小标宋_GBK" w:hAnsi="方正小标宋_GBK" w:eastAsia="方正小标宋_GBK" w:cs="方正小标宋_GBK"/>
          <w:color w:val="auto"/>
          <w:sz w:val="40"/>
          <w:szCs w:val="48"/>
        </w:rPr>
        <w:t>202</w:t>
      </w:r>
      <w:r>
        <w:rPr>
          <w:rFonts w:hint="eastAsia" w:ascii="方正小标宋_GBK" w:hAnsi="方正小标宋_GBK" w:eastAsia="方正小标宋_GBK" w:cs="方正小标宋_GBK"/>
          <w:color w:val="auto"/>
          <w:sz w:val="40"/>
          <w:szCs w:val="48"/>
          <w:lang w:val="en-US" w:eastAsia="zh-CN"/>
        </w:rPr>
        <w:t>2</w:t>
      </w:r>
      <w:r>
        <w:rPr>
          <w:rFonts w:hint="eastAsia" w:ascii="方正小标宋_GBK" w:hAnsi="方正小标宋_GBK" w:eastAsia="方正小标宋_GBK" w:cs="方正小标宋_GBK"/>
          <w:color w:val="auto"/>
          <w:sz w:val="40"/>
          <w:szCs w:val="48"/>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eastAsia="zh-CN"/>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40"/>
          <w:lang w:val="en-US" w:eastAsia="zh-CN"/>
        </w:rPr>
        <w:t>告中</w:t>
      </w:r>
      <w:r>
        <w:rPr>
          <w:rFonts w:hint="eastAsia" w:ascii="仿宋_GB2312" w:hAnsi="仿宋_GB2312" w:eastAsia="仿宋_GB2312" w:cs="仿宋_GB2312"/>
          <w:color w:val="auto"/>
          <w:sz w:val="32"/>
          <w:szCs w:val="40"/>
        </w:rPr>
        <w:t>所列数据的统计期限自2022年1月1日起，至2022年12月31日止。如对报告内容有疑问，请与</w:t>
      </w:r>
      <w:r>
        <w:rPr>
          <w:rFonts w:hint="eastAsia" w:ascii="仿宋_GB2312" w:hAnsi="仿宋_GB2312" w:eastAsia="仿宋_GB2312" w:cs="仿宋_GB2312"/>
          <w:color w:val="auto"/>
          <w:sz w:val="32"/>
          <w:szCs w:val="40"/>
          <w:lang w:val="en-US" w:eastAsia="zh-CN"/>
        </w:rPr>
        <w:t>淄博市公共资源交易中心</w:t>
      </w:r>
      <w:r>
        <w:rPr>
          <w:rFonts w:hint="eastAsia" w:ascii="仿宋_GB2312" w:hAnsi="仿宋_GB2312" w:eastAsia="仿宋_GB2312" w:cs="仿宋_GB2312"/>
          <w:color w:val="auto"/>
          <w:sz w:val="32"/>
          <w:szCs w:val="40"/>
        </w:rPr>
        <w:t>联系（地址：</w:t>
      </w:r>
      <w:r>
        <w:rPr>
          <w:rFonts w:hint="eastAsia" w:ascii="仿宋_GB2312" w:hAnsi="仿宋_GB2312" w:eastAsia="仿宋_GB2312" w:cs="仿宋_GB2312"/>
          <w:color w:val="auto"/>
          <w:sz w:val="32"/>
          <w:szCs w:val="40"/>
          <w:lang w:val="en-US" w:eastAsia="zh-CN"/>
        </w:rPr>
        <w:t>山东省淄博市高新区柳泉路125号</w:t>
      </w:r>
      <w:r>
        <w:rPr>
          <w:rFonts w:hint="eastAsia" w:ascii="仿宋_GB2312" w:hAnsi="仿宋_GB2312" w:eastAsia="仿宋_GB2312" w:cs="仿宋_GB2312"/>
          <w:color w:val="auto"/>
          <w:sz w:val="32"/>
          <w:szCs w:val="40"/>
        </w:rPr>
        <w:t>；邮编：</w:t>
      </w:r>
      <w:r>
        <w:rPr>
          <w:rFonts w:hint="eastAsia" w:ascii="仿宋_GB2312" w:hAnsi="仿宋_GB2312" w:eastAsia="仿宋_GB2312" w:cs="仿宋_GB2312"/>
          <w:color w:val="auto"/>
          <w:sz w:val="32"/>
          <w:szCs w:val="40"/>
          <w:lang w:val="en-US" w:eastAsia="zh-CN"/>
        </w:rPr>
        <w:t>255035</w:t>
      </w:r>
      <w:r>
        <w:rPr>
          <w:rFonts w:hint="eastAsia" w:ascii="仿宋_GB2312" w:hAnsi="仿宋_GB2312" w:eastAsia="仿宋_GB2312" w:cs="仿宋_GB2312"/>
          <w:color w:val="auto"/>
          <w:sz w:val="32"/>
          <w:szCs w:val="40"/>
        </w:rPr>
        <w:t>；电话：</w:t>
      </w:r>
      <w:r>
        <w:rPr>
          <w:rFonts w:hint="eastAsia" w:ascii="仿宋_GB2312" w:hAnsi="仿宋_GB2312" w:eastAsia="仿宋_GB2312" w:cs="仿宋_GB2312"/>
          <w:color w:val="auto"/>
          <w:sz w:val="32"/>
          <w:szCs w:val="40"/>
          <w:lang w:val="en-US" w:eastAsia="zh-CN"/>
        </w:rPr>
        <w:t>0533-2270076</w:t>
      </w:r>
      <w:r>
        <w:rPr>
          <w:rFonts w:hint="eastAsia" w:ascii="仿宋_GB2312" w:hAnsi="仿宋_GB2312" w:eastAsia="仿宋_GB2312" w:cs="仿宋_GB2312"/>
          <w:color w:val="auto"/>
          <w:sz w:val="32"/>
          <w:szCs w:val="40"/>
        </w:rPr>
        <w:t>；邮箱：</w:t>
      </w:r>
      <w:r>
        <w:rPr>
          <w:rFonts w:hint="eastAsia" w:ascii="仿宋_GB2312" w:hAnsi="仿宋_GB2312" w:eastAsia="仿宋_GB2312" w:cs="仿宋_GB2312"/>
          <w:color w:val="auto"/>
          <w:sz w:val="32"/>
          <w:szCs w:val="40"/>
          <w:lang w:val="en-US" w:eastAsia="zh-CN"/>
        </w:rPr>
        <w:t>sggzyjyzxzhk@zb.shandong.cn</w:t>
      </w:r>
      <w:r>
        <w:rPr>
          <w:rFonts w:hint="eastAsia" w:ascii="仿宋_GB2312" w:hAnsi="仿宋_GB2312" w:eastAsia="仿宋_GB2312" w:cs="仿宋_GB2312"/>
          <w:color w:val="auto"/>
          <w:sz w:val="32"/>
          <w:szCs w:val="40"/>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b/>
          <w:bCs/>
          <w:color w:val="FF0000"/>
          <w:sz w:val="32"/>
          <w:szCs w:val="40"/>
          <w:highlight w:val="none"/>
          <w:lang w:val="en-US" w:eastAsia="zh-CN"/>
        </w:rPr>
      </w:pPr>
      <w:r>
        <w:rPr>
          <w:rFonts w:hint="eastAsia" w:ascii="仿宋_GB2312" w:hAnsi="仿宋_GB2312" w:eastAsia="仿宋_GB2312" w:cs="仿宋_GB2312"/>
          <w:color w:val="auto"/>
          <w:sz w:val="32"/>
          <w:szCs w:val="40"/>
        </w:rPr>
        <w:t>市公共资源交易中心</w:t>
      </w:r>
      <w:r>
        <w:rPr>
          <w:rFonts w:hint="eastAsia" w:ascii="仿宋_GB2312" w:hAnsi="仿宋_GB2312" w:eastAsia="仿宋_GB2312" w:cs="仿宋_GB2312"/>
          <w:color w:val="auto"/>
          <w:sz w:val="32"/>
          <w:szCs w:val="40"/>
          <w:lang w:val="en-US" w:eastAsia="zh-CN"/>
        </w:rPr>
        <w:t>主动公开机构概况、工作制度等内容</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强化依申请公开办理程序，规范管理政府信息及政府信息公开平台，加强对政务公开情况的督促检查，</w:t>
      </w:r>
      <w:r>
        <w:rPr>
          <w:rFonts w:hint="eastAsia" w:ascii="仿宋_GB2312" w:hAnsi="仿宋_GB2312" w:eastAsia="仿宋_GB2312" w:cs="仿宋_GB2312"/>
          <w:color w:val="auto"/>
          <w:sz w:val="32"/>
          <w:szCs w:val="40"/>
        </w:rPr>
        <w:t>进一步</w:t>
      </w:r>
      <w:r>
        <w:rPr>
          <w:rFonts w:hint="eastAsia" w:ascii="仿宋_GB2312" w:hAnsi="仿宋_GB2312" w:eastAsia="仿宋_GB2312" w:cs="仿宋_GB2312"/>
          <w:color w:val="auto"/>
          <w:sz w:val="32"/>
          <w:szCs w:val="40"/>
          <w:lang w:val="en-US" w:eastAsia="zh-CN"/>
        </w:rPr>
        <w:t>推动公共资源交易领域政务公开提质增效</w:t>
      </w:r>
      <w:r>
        <w:rPr>
          <w:rFonts w:hint="eastAsia" w:ascii="仿宋_GB2312" w:hAnsi="仿宋_GB2312" w:eastAsia="仿宋_GB2312" w:cs="仿宋_GB2312"/>
          <w:color w:val="auto"/>
          <w:sz w:val="32"/>
          <w:szCs w:val="40"/>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楷体_GB2312" w:hAnsi="楷体_GB2312" w:eastAsia="楷体_GB2312" w:cs="楷体_GB2312"/>
          <w:color w:val="auto"/>
          <w:sz w:val="32"/>
          <w:szCs w:val="40"/>
          <w:lang w:val="en-US" w:eastAsia="zh-CN"/>
        </w:rPr>
        <w:t>（一）主动公开内容丰富。</w:t>
      </w:r>
      <w:r>
        <w:rPr>
          <w:rFonts w:hint="eastAsia" w:ascii="仿宋_GB2312" w:hAnsi="仿宋_GB2312" w:eastAsia="仿宋_GB2312" w:cs="仿宋_GB2312"/>
          <w:color w:val="auto"/>
          <w:sz w:val="32"/>
          <w:szCs w:val="40"/>
          <w:lang w:val="en-US" w:eastAsia="zh-CN"/>
        </w:rPr>
        <w:t>研究制定中心2022年政务公开工作要点，明确任务重点、责任要求等，主动公开</w:t>
      </w:r>
      <w:r>
        <w:rPr>
          <w:rFonts w:hint="eastAsia" w:ascii="仿宋_GB2312" w:hAnsi="仿宋_GB2312" w:eastAsia="仿宋_GB2312" w:cs="仿宋_GB2312"/>
          <w:b w:val="0"/>
          <w:bCs w:val="0"/>
          <w:color w:val="auto"/>
          <w:sz w:val="32"/>
          <w:szCs w:val="40"/>
          <w:lang w:val="en-US" w:eastAsia="zh-CN"/>
        </w:rPr>
        <w:t>机构概况、工作制度等内容。利用图片解读、会议议题解读等方式对</w:t>
      </w:r>
      <w:r>
        <w:rPr>
          <w:rFonts w:hint="eastAsia" w:ascii="仿宋_GB2312" w:hAnsi="仿宋_GB2312" w:eastAsia="仿宋_GB2312" w:cs="仿宋_GB2312"/>
          <w:color w:val="auto"/>
          <w:sz w:val="32"/>
          <w:szCs w:val="40"/>
          <w:lang w:val="en-US" w:eastAsia="zh-CN"/>
        </w:rPr>
        <w:t>文件的出台背景、制定意义等进行解读说明，全年共发布解读类文稿18次；</w:t>
      </w:r>
      <w:r>
        <w:rPr>
          <w:rFonts w:hint="eastAsia" w:ascii="仿宋_GB2312" w:hAnsi="仿宋_GB2312" w:eastAsia="仿宋_GB2312" w:cs="仿宋_GB2312"/>
          <w:b w:val="0"/>
          <w:bCs w:val="0"/>
          <w:color w:val="auto"/>
          <w:sz w:val="32"/>
          <w:szCs w:val="40"/>
          <w:lang w:val="en-US" w:eastAsia="zh-CN"/>
        </w:rPr>
        <w:t>召开主任办公会</w:t>
      </w:r>
      <w:r>
        <w:rPr>
          <w:rFonts w:hint="eastAsia" w:ascii="仿宋_GB2312" w:hAnsi="仿宋_GB2312" w:eastAsia="仿宋_GB2312" w:cs="仿宋_GB2312"/>
          <w:color w:val="auto"/>
          <w:sz w:val="32"/>
          <w:szCs w:val="40"/>
          <w:lang w:val="en-US" w:eastAsia="zh-CN"/>
        </w:rPr>
        <w:t>7次，研究重要议题</w:t>
      </w:r>
      <w:r>
        <w:rPr>
          <w:rFonts w:hint="eastAsia" w:ascii="仿宋_GB2312" w:hAnsi="仿宋_GB2312" w:eastAsia="仿宋_GB2312" w:cs="仿宋_GB2312"/>
          <w:color w:val="auto"/>
          <w:sz w:val="32"/>
          <w:szCs w:val="40"/>
          <w:highlight w:val="none"/>
          <w:lang w:val="en-US" w:eastAsia="zh-CN"/>
        </w:rPr>
        <w:t>26个</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highlight w:val="none"/>
          <w:lang w:val="en-US" w:eastAsia="zh-CN"/>
        </w:rPr>
        <w:t>全</w:t>
      </w:r>
      <w:r>
        <w:rPr>
          <w:rFonts w:hint="eastAsia" w:ascii="仿宋_GB2312" w:hAnsi="仿宋_GB2312" w:eastAsia="仿宋_GB2312" w:cs="仿宋_GB2312"/>
          <w:color w:val="auto"/>
          <w:sz w:val="32"/>
          <w:szCs w:val="40"/>
          <w:highlight w:val="none"/>
        </w:rPr>
        <w:t>年在公共资源交易网发布</w:t>
      </w:r>
      <w:r>
        <w:rPr>
          <w:rFonts w:hint="eastAsia" w:ascii="仿宋_GB2312" w:hAnsi="仿宋_GB2312" w:eastAsia="仿宋_GB2312" w:cs="仿宋_GB2312"/>
          <w:color w:val="auto"/>
          <w:sz w:val="32"/>
          <w:szCs w:val="40"/>
          <w:highlight w:val="none"/>
          <w:lang w:val="en-US" w:eastAsia="zh-CN"/>
        </w:rPr>
        <w:t>信息</w:t>
      </w:r>
      <w:r>
        <w:rPr>
          <w:rFonts w:hint="eastAsia" w:ascii="仿宋_GB2312" w:hAnsi="仿宋_GB2312" w:eastAsia="仿宋_GB2312" w:cs="仿宋_GB2312"/>
          <w:color w:val="auto"/>
          <w:sz w:val="32"/>
          <w:szCs w:val="40"/>
          <w:highlight w:val="none"/>
        </w:rPr>
        <w:t>15003条，在中心公众号发布信息321条。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楷体_GB2312" w:hAnsi="Segoe UI" w:eastAsia="楷体_GB2312" w:cs="楷体_GB2312"/>
          <w:i w:val="0"/>
          <w:iCs w:val="0"/>
          <w:caps w:val="0"/>
          <w:color w:val="auto"/>
          <w:spacing w:val="0"/>
          <w:kern w:val="0"/>
          <w:sz w:val="32"/>
          <w:szCs w:val="32"/>
          <w:shd w:val="clear" w:fill="FFFFFF"/>
          <w:lang w:val="en-US" w:eastAsia="zh-CN" w:bidi="ar"/>
        </w:rPr>
        <w:t>（二）依申请公开规范有序。</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严格遵循依申请办理程序，做好依申请公开登记、审核、办理、答复和归档等环节，依规按时处理。</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全年共收到信息公开申请5件，按时答复5件，主要涉及交易信息、财税信息等内容，已按要求出具政府信息公开申请答复书，在此过程中无信息公开收费情况。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大标宋_GBK" w:hAnsi="方正大标宋_GBK" w:eastAsia="方正大标宋_GBK" w:cs="方正大标宋_GBK"/>
          <w:color w:val="auto"/>
          <w:sz w:val="44"/>
          <w:szCs w:val="44"/>
          <w:lang w:val="en-US" w:eastAsia="zh-CN"/>
        </w:rPr>
      </w:pPr>
      <w:r>
        <w:rPr>
          <w:rFonts w:hint="eastAsia" w:ascii="方正大标宋_GBK" w:hAnsi="方正大标宋_GBK" w:eastAsia="方正大标宋_GBK" w:cs="方正大标宋_GBK"/>
          <w:color w:val="auto"/>
          <w:sz w:val="44"/>
          <w:szCs w:val="44"/>
          <w:lang w:val="en-US" w:eastAsia="zh-CN"/>
        </w:rPr>
        <w:drawing>
          <wp:inline distT="0" distB="0" distL="114300" distR="114300">
            <wp:extent cx="4276725" cy="2486025"/>
            <wp:effectExtent l="0" t="0" r="9525" b="9525"/>
            <wp:docPr id="2" name="图片 2" descr="2019-2022年依申请公开信息数量统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2022年依申请公开信息数量统计"/>
                    <pic:cNvPicPr>
                      <a:picLocks noChangeAspect="1"/>
                    </pic:cNvPicPr>
                  </pic:nvPicPr>
                  <pic:blipFill>
                    <a:blip r:embed="rId5"/>
                    <a:stretch>
                      <a:fillRect/>
                    </a:stretch>
                  </pic:blipFill>
                  <pic:spPr>
                    <a:xfrm>
                      <a:off x="0" y="0"/>
                      <a:ext cx="4276725" cy="24860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yellow"/>
          <w:lang w:val="en-US" w:eastAsia="zh-CN"/>
        </w:rPr>
      </w:pPr>
      <w:r>
        <w:rPr>
          <w:rFonts w:hint="eastAsia" w:ascii="楷体_GB2312" w:hAnsi="Segoe UI" w:eastAsia="楷体_GB2312" w:cs="楷体_GB2312"/>
          <w:i w:val="0"/>
          <w:iCs w:val="0"/>
          <w:caps w:val="0"/>
          <w:color w:val="auto"/>
          <w:spacing w:val="0"/>
          <w:kern w:val="0"/>
          <w:sz w:val="32"/>
          <w:szCs w:val="32"/>
          <w:shd w:val="clear" w:fill="FFFFFF"/>
          <w:lang w:val="en-US" w:eastAsia="zh-CN" w:bidi="ar"/>
        </w:rPr>
        <w:t>（三）政府信息管理完善透明。</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完善主动公开基本目录，对信息公开时限、公开方式等内容进行明确；及时发布公共资源交易领域交易信息，实现交易公告“一链式”全读，打造交易信息全生命周期公开模式；规范项目编号、项目名称等内容，明确申请人资格要求，公共资源交易信息更加规范透明；严格落实政府信息公开保密审查制度，强化执行信息发布管理、网站管理刚性。</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default" w:ascii="仿宋_GB2312" w:hAnsi="仿宋_GB2312" w:eastAsia="仿宋_GB2312" w:cs="仿宋_GB2312"/>
          <w:b w:val="0"/>
          <w:bCs w:val="0"/>
          <w:color w:val="FF0000"/>
          <w:sz w:val="32"/>
          <w:szCs w:val="32"/>
          <w:highlight w:val="none"/>
          <w:lang w:val="en-US" w:eastAsia="zh-CN"/>
        </w:rPr>
      </w:pPr>
      <w:r>
        <w:rPr>
          <w:rFonts w:hint="eastAsia" w:ascii="楷体_GB2312" w:hAnsi="Segoe UI" w:eastAsia="楷体_GB2312" w:cs="楷体_GB2312"/>
          <w:i w:val="0"/>
          <w:iCs w:val="0"/>
          <w:caps w:val="0"/>
          <w:color w:val="auto"/>
          <w:spacing w:val="0"/>
          <w:kern w:val="0"/>
          <w:sz w:val="32"/>
          <w:szCs w:val="32"/>
          <w:shd w:val="clear" w:fill="FFFFFF"/>
          <w:lang w:val="en-US" w:eastAsia="zh-CN" w:bidi="ar"/>
        </w:rPr>
        <w:t>（四）政府信息公开平台改版升级</w:t>
      </w:r>
      <w:r>
        <w:rPr>
          <w:rFonts w:hint="eastAsia" w:ascii="仿宋_GB2312" w:hAnsi="Segoe UI" w:eastAsia="仿宋_GB2312" w:cs="仿宋_GB2312"/>
          <w:b/>
          <w:bCs/>
          <w:i w:val="0"/>
          <w:iCs w:val="0"/>
          <w:caps w:val="0"/>
          <w:color w:val="auto"/>
          <w:spacing w:val="0"/>
          <w:kern w:val="0"/>
          <w:sz w:val="32"/>
          <w:szCs w:val="32"/>
          <w:shd w:val="clear" w:fill="FFFFFF"/>
          <w:lang w:val="en-US" w:eastAsia="zh-CN" w:bidi="ar"/>
        </w:rPr>
        <w:t>。一</w:t>
      </w: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是改版淄博市公共资源交易网。</w:t>
      </w:r>
      <w:r>
        <w:rPr>
          <w:rFonts w:hint="eastAsia" w:ascii="仿宋_GB2312" w:hAnsi="Segoe UI" w:eastAsia="仿宋_GB2312" w:cs="仿宋_GB2312"/>
          <w:b w:val="0"/>
          <w:bCs w:val="0"/>
          <w:i w:val="0"/>
          <w:iCs w:val="0"/>
          <w:caps w:val="0"/>
          <w:color w:val="auto"/>
          <w:spacing w:val="0"/>
          <w:kern w:val="0"/>
          <w:sz w:val="32"/>
          <w:szCs w:val="32"/>
          <w:shd w:val="clear" w:fill="FFFFFF"/>
          <w:lang w:val="en-US" w:eastAsia="zh-CN" w:bidi="ar"/>
        </w:rPr>
        <w:t>研究印发淄博市公共资源交易中心读网制度，及时发现并修复网站异常，进一步规范网站建设和管理；开展网站意见征集活动，更好发挥政府门户网站政务公开“第一窗口”作用。</w:t>
      </w: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二是网站功能升级。</w:t>
      </w:r>
      <w:r>
        <w:rPr>
          <w:rFonts w:hint="eastAsia" w:ascii="仿宋_GB2312" w:hAnsi="仿宋_GB2312" w:eastAsia="仿宋_GB2312" w:cs="仿宋_GB2312"/>
          <w:i w:val="0"/>
          <w:iCs w:val="0"/>
          <w:caps w:val="0"/>
          <w:color w:val="auto"/>
          <w:spacing w:val="0"/>
          <w:sz w:val="32"/>
          <w:szCs w:val="32"/>
          <w:shd w:val="clear" w:fill="FFFFFF"/>
          <w:lang w:val="en-US" w:eastAsia="zh-CN"/>
        </w:rPr>
        <w:t>研究提升交易平台系统功能，在交易平台开发“农村产权交易信息”专栏，</w:t>
      </w:r>
      <w:r>
        <w:rPr>
          <w:rFonts w:hint="eastAsia" w:ascii="仿宋_GB2312" w:hAnsi="仿宋_GB2312" w:eastAsia="仿宋_GB2312" w:cs="仿宋_GB2312"/>
          <w:color w:val="auto"/>
          <w:sz w:val="32"/>
          <w:szCs w:val="32"/>
          <w:lang w:val="en-US" w:eastAsia="zh-CN"/>
        </w:rPr>
        <w:t>提升信息读取便利度和市场主体参与度</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全年新开设专栏专题18个，维护227个。</w:t>
      </w:r>
      <w:r>
        <w:rPr>
          <w:rFonts w:hint="eastAsia" w:ascii="楷体_GB2312" w:hAnsi="楷体_GB2312" w:eastAsia="楷体_GB2312" w:cs="楷体_GB2312"/>
          <w:b/>
          <w:bCs/>
          <w:i w:val="0"/>
          <w:iCs w:val="0"/>
          <w:caps w:val="0"/>
          <w:color w:val="auto"/>
          <w:spacing w:val="0"/>
          <w:kern w:val="0"/>
          <w:sz w:val="32"/>
          <w:szCs w:val="32"/>
          <w:highlight w:val="none"/>
          <w:shd w:val="clear" w:fill="FFFFFF"/>
          <w:lang w:val="en-US" w:eastAsia="zh-CN" w:bidi="ar"/>
        </w:rPr>
        <w:t>三是加强政务新媒体管理。</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严格执行政务新媒体管理办法，结合网站改版及时更新链接，2022年在公众号推送政府信息宣传稿件188件。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楷体_GB2312" w:hAnsi="Segoe UI" w:eastAsia="楷体_GB2312" w:cs="楷体_GB2312"/>
          <w:b w:val="0"/>
          <w:bCs w:val="0"/>
          <w:i w:val="0"/>
          <w:iCs w:val="0"/>
          <w:caps w:val="0"/>
          <w:color w:val="auto"/>
          <w:spacing w:val="0"/>
          <w:kern w:val="0"/>
          <w:sz w:val="32"/>
          <w:szCs w:val="32"/>
          <w:shd w:val="clear" w:fill="FFFFFF"/>
          <w:lang w:val="en-US" w:eastAsia="zh-CN" w:bidi="ar"/>
        </w:rPr>
        <w:t>（五）监督保障工作落到实处。</w:t>
      </w:r>
      <w:r>
        <w:rPr>
          <w:rFonts w:hint="eastAsia" w:ascii="仿宋_GB2312" w:hAnsi="Segoe UI" w:eastAsia="仿宋_GB2312" w:cs="仿宋_GB2312"/>
          <w:i w:val="0"/>
          <w:iCs w:val="0"/>
          <w:caps w:val="0"/>
          <w:color w:val="auto"/>
          <w:spacing w:val="0"/>
          <w:kern w:val="0"/>
          <w:sz w:val="32"/>
          <w:szCs w:val="32"/>
          <w:shd w:val="clear" w:fill="FFFFFF"/>
          <w:lang w:val="en-US" w:eastAsia="zh-CN" w:bidi="ar"/>
        </w:rPr>
        <w:t>压实对政务公开工作的领导，及时调整政务公开领导小组成员，围绕</w:t>
      </w:r>
      <w:r>
        <w:rPr>
          <w:rFonts w:hint="eastAsia" w:ascii="仿宋_GB2312" w:hAnsi="仿宋_GB2312" w:eastAsia="仿宋_GB2312" w:cs="仿宋_GB2312"/>
          <w:i w:val="0"/>
          <w:iCs w:val="0"/>
          <w:caps w:val="0"/>
          <w:color w:val="auto"/>
          <w:spacing w:val="11"/>
          <w:sz w:val="32"/>
          <w:szCs w:val="32"/>
          <w:shd w:val="clear" w:fill="FFFFFF"/>
        </w:rPr>
        <w:t>公共资源领域信息公开</w:t>
      </w:r>
      <w:r>
        <w:rPr>
          <w:rFonts w:hint="eastAsia" w:ascii="仿宋_GB2312" w:hAnsi="仿宋_GB2312" w:eastAsia="仿宋_GB2312" w:cs="仿宋_GB2312"/>
          <w:i w:val="0"/>
          <w:iCs w:val="0"/>
          <w:caps w:val="0"/>
          <w:color w:val="auto"/>
          <w:spacing w:val="11"/>
          <w:sz w:val="32"/>
          <w:szCs w:val="32"/>
          <w:shd w:val="clear" w:fill="FFFFFF"/>
          <w:lang w:eastAsia="zh-CN"/>
        </w:rPr>
        <w:t>、</w:t>
      </w:r>
      <w:r>
        <w:rPr>
          <w:rFonts w:hint="eastAsia" w:ascii="仿宋_GB2312" w:hAnsi="仿宋_GB2312" w:eastAsia="仿宋_GB2312" w:cs="仿宋_GB2312"/>
          <w:i w:val="0"/>
          <w:iCs w:val="0"/>
          <w:caps w:val="0"/>
          <w:color w:val="auto"/>
          <w:spacing w:val="11"/>
          <w:sz w:val="32"/>
          <w:szCs w:val="32"/>
          <w:shd w:val="clear" w:fill="FFFFFF"/>
        </w:rPr>
        <w:t>优化营商环境信息公开</w:t>
      </w:r>
      <w:r>
        <w:rPr>
          <w:rFonts w:hint="eastAsia" w:ascii="仿宋_GB2312" w:hAnsi="仿宋_GB2312" w:eastAsia="仿宋_GB2312" w:cs="仿宋_GB2312"/>
          <w:i w:val="0"/>
          <w:iCs w:val="0"/>
          <w:caps w:val="0"/>
          <w:color w:val="auto"/>
          <w:spacing w:val="11"/>
          <w:sz w:val="32"/>
          <w:szCs w:val="32"/>
          <w:shd w:val="clear" w:fill="FFFFFF"/>
          <w:lang w:eastAsia="zh-CN"/>
        </w:rPr>
        <w:t>、</w:t>
      </w:r>
      <w:r>
        <w:rPr>
          <w:rFonts w:hint="eastAsia" w:ascii="仿宋_GB2312" w:hAnsi="仿宋_GB2312" w:eastAsia="仿宋_GB2312" w:cs="仿宋_GB2312"/>
          <w:i w:val="0"/>
          <w:iCs w:val="0"/>
          <w:caps w:val="0"/>
          <w:color w:val="auto"/>
          <w:spacing w:val="11"/>
          <w:sz w:val="32"/>
          <w:szCs w:val="32"/>
          <w:shd w:val="clear" w:fill="FFFFFF"/>
        </w:rPr>
        <w:t>预决算领域信息公开</w:t>
      </w:r>
      <w:r>
        <w:rPr>
          <w:rFonts w:hint="eastAsia" w:ascii="仿宋_GB2312" w:hAnsi="仿宋_GB2312" w:eastAsia="仿宋_GB2312" w:cs="仿宋_GB2312"/>
          <w:i w:val="0"/>
          <w:iCs w:val="0"/>
          <w:caps w:val="0"/>
          <w:color w:val="auto"/>
          <w:spacing w:val="11"/>
          <w:sz w:val="32"/>
          <w:szCs w:val="32"/>
          <w:shd w:val="clear" w:fill="FFFFFF"/>
          <w:lang w:val="en-US" w:eastAsia="zh-CN"/>
        </w:rPr>
        <w:t>等方面开展工作，加强政策解读，及时回应互动。</w:t>
      </w:r>
      <w:r>
        <w:rPr>
          <w:rFonts w:hint="eastAsia" w:ascii="仿宋_GB2312" w:hAnsi="Segoe UI" w:eastAsia="仿宋_GB2312" w:cs="仿宋_GB2312"/>
          <w:i w:val="0"/>
          <w:iCs w:val="0"/>
          <w:caps w:val="0"/>
          <w:color w:val="auto"/>
          <w:spacing w:val="0"/>
          <w:kern w:val="0"/>
          <w:sz w:val="32"/>
          <w:szCs w:val="32"/>
          <w:shd w:val="clear" w:fill="FFFFFF"/>
          <w:lang w:val="en-US" w:eastAsia="zh-CN" w:bidi="ar"/>
        </w:rPr>
        <w:t>加强政务公开培训，在会议公开、政策解读等方面学习研讨，增强政务公开主动性</w:t>
      </w:r>
      <w:r>
        <w:rPr>
          <w:rFonts w:hint="eastAsia" w:ascii="仿宋_GB2312" w:hAnsi="SourceHanSansCN-Regular" w:eastAsia="仿宋_GB2312" w:cs="仿宋_GB2312"/>
          <w:b w:val="0"/>
          <w:bCs w:val="0"/>
          <w:i w:val="0"/>
          <w:iCs w:val="0"/>
          <w:caps w:val="0"/>
          <w:color w:val="auto"/>
          <w:spacing w:val="0"/>
          <w:kern w:val="2"/>
          <w:sz w:val="32"/>
          <w:szCs w:val="32"/>
          <w:shd w:val="clear" w:fill="FFFFFF"/>
          <w:lang w:val="en-US" w:eastAsia="zh-CN"/>
        </w:rPr>
        <w:t>；</w:t>
      </w:r>
      <w:r>
        <w:rPr>
          <w:rFonts w:hint="eastAsia" w:ascii="仿宋_GB2312" w:hAnsi="Segoe UI" w:eastAsia="仿宋_GB2312" w:cs="仿宋_GB2312"/>
          <w:i w:val="0"/>
          <w:iCs w:val="0"/>
          <w:caps w:val="0"/>
          <w:color w:val="auto"/>
          <w:spacing w:val="0"/>
          <w:kern w:val="0"/>
          <w:sz w:val="32"/>
          <w:szCs w:val="32"/>
          <w:shd w:val="clear" w:fill="FFFFFF"/>
          <w:lang w:val="en-US" w:eastAsia="zh-CN" w:bidi="ar"/>
        </w:rPr>
        <w:t>对政府网站和政务新媒体存在的问题，第一时间做到反馈即整改，确保网站和微信公众号等健康发展。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宋体" w:eastAsia="黑体" w:cs="黑体"/>
          <w:i w:val="0"/>
          <w:iCs w:val="0"/>
          <w:caps w:val="0"/>
          <w:color w:val="auto"/>
          <w:spacing w:val="0"/>
          <w:sz w:val="32"/>
          <w:szCs w:val="32"/>
          <w:shd w:val="clear" w:fill="FFFFFF"/>
          <w:lang w:val="en-US" w:eastAsia="zh-CN"/>
        </w:rPr>
      </w:pPr>
      <w:r>
        <w:rPr>
          <w:rFonts w:ascii="黑体" w:hAnsi="宋体" w:eastAsia="黑体" w:cs="黑体"/>
          <w:i w:val="0"/>
          <w:iCs w:val="0"/>
          <w:caps w:val="0"/>
          <w:color w:val="auto"/>
          <w:spacing w:val="0"/>
          <w:sz w:val="32"/>
          <w:szCs w:val="32"/>
          <w:shd w:val="clear" w:fill="FFFFFF"/>
        </w:rPr>
        <w:t>主动公开政府信息情况</w:t>
      </w:r>
    </w:p>
    <w:tbl>
      <w:tblPr>
        <w:tblStyle w:val="6"/>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00"/>
        <w:gridCol w:w="1980"/>
        <w:gridCol w:w="202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925"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198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本年制发件数</w:t>
            </w:r>
          </w:p>
        </w:tc>
        <w:tc>
          <w:tcPr>
            <w:tcW w:w="2025"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本年废止件数</w:t>
            </w:r>
          </w:p>
        </w:tc>
        <w:tc>
          <w:tcPr>
            <w:tcW w:w="2220"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default" w:ascii="Times New Roman" w:hAnsi="Times New Roman" w:eastAsia="Segoe UI" w:cs="Times New Roman"/>
                <w:i w:val="0"/>
                <w:iCs w:val="0"/>
                <w:caps w:val="0"/>
                <w:color w:val="auto"/>
                <w:spacing w:val="0"/>
                <w:sz w:val="24"/>
                <w:szCs w:val="24"/>
              </w:rPr>
              <w:t>规章</w:t>
            </w:r>
          </w:p>
        </w:tc>
        <w:tc>
          <w:tcPr>
            <w:tcW w:w="198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025"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22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default" w:ascii="Times New Roman" w:hAnsi="Times New Roman" w:eastAsia="Segoe UI" w:cs="Times New Roman"/>
                <w:i w:val="0"/>
                <w:iCs w:val="0"/>
                <w:caps w:val="0"/>
                <w:color w:val="auto"/>
                <w:spacing w:val="0"/>
                <w:sz w:val="24"/>
                <w:szCs w:val="24"/>
              </w:rPr>
              <w:t>行政规范性文件</w:t>
            </w:r>
          </w:p>
        </w:tc>
        <w:tc>
          <w:tcPr>
            <w:tcW w:w="198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025"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c>
          <w:tcPr>
            <w:tcW w:w="2220"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default" w:ascii="Times New Roman" w:hAnsi="Times New Roman" w:eastAsia="Segoe UI" w:cs="Times New Roman"/>
                <w:i w:val="0"/>
                <w:iCs w:val="0"/>
                <w:caps w:val="0"/>
                <w:color w:val="auto"/>
                <w:spacing w:val="0"/>
                <w:sz w:val="24"/>
                <w:szCs w:val="24"/>
              </w:rPr>
              <w:t>行政许可</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default" w:ascii="Times New Roman" w:hAnsi="Times New Roman" w:eastAsia="Segoe UI" w:cs="Times New Roman"/>
                <w:i w:val="0"/>
                <w:iCs w:val="0"/>
                <w:caps w:val="0"/>
                <w:color w:val="auto"/>
                <w:spacing w:val="0"/>
                <w:sz w:val="24"/>
                <w:szCs w:val="24"/>
              </w:rPr>
              <w:t>行政处罚</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auto"/>
              </w:rPr>
            </w:pPr>
            <w:r>
              <w:rPr>
                <w:rFonts w:hint="default" w:ascii="Times New Roman" w:hAnsi="Times New Roman" w:eastAsia="Segoe UI" w:cs="Times New Roman"/>
                <w:i w:val="0"/>
                <w:iCs w:val="0"/>
                <w:caps w:val="0"/>
                <w:color w:val="auto"/>
                <w:spacing w:val="0"/>
                <w:sz w:val="24"/>
                <w:szCs w:val="24"/>
              </w:rPr>
              <w:t>行政强制</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8925"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信息内容</w:t>
            </w:r>
          </w:p>
        </w:tc>
        <w:tc>
          <w:tcPr>
            <w:tcW w:w="6225" w:type="dxa"/>
            <w:gridSpan w:val="3"/>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2700"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left"/>
              <w:rPr>
                <w:color w:val="auto"/>
              </w:rPr>
            </w:pPr>
            <w:r>
              <w:rPr>
                <w:rFonts w:hint="default" w:ascii="Times New Roman" w:hAnsi="Times New Roman" w:eastAsia="Segoe UI" w:cs="Times New Roman"/>
                <w:i w:val="0"/>
                <w:iCs w:val="0"/>
                <w:caps w:val="0"/>
                <w:color w:val="auto"/>
                <w:spacing w:val="0"/>
                <w:sz w:val="24"/>
                <w:szCs w:val="24"/>
              </w:rPr>
              <w:t>行政事业性收费</w:t>
            </w:r>
          </w:p>
        </w:tc>
        <w:tc>
          <w:tcPr>
            <w:tcW w:w="6225" w:type="dxa"/>
            <w:gridSpan w:val="3"/>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auto"/>
              </w:rPr>
            </w:pPr>
            <w:r>
              <w:rPr>
                <w:rFonts w:hint="default" w:ascii="Times New Roman" w:hAnsi="Times New Roman" w:eastAsia="Segoe UI" w:cs="Times New Roman"/>
                <w:i w:val="0"/>
                <w:iCs w:val="0"/>
                <w:caps w:val="0"/>
                <w:color w:val="auto"/>
                <w:spacing w:val="0"/>
                <w:sz w:val="24"/>
                <w:szCs w:val="24"/>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auto"/>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收到和处理政府信息公开申请情况</w:t>
      </w:r>
    </w:p>
    <w:tbl>
      <w:tblPr>
        <w:tblStyle w:val="6"/>
        <w:tblpPr w:leftFromText="180" w:rightFromText="180" w:vertAnchor="text" w:horzAnchor="page" w:tblpXSpec="center" w:tblpY="237"/>
        <w:tblOverlap w:val="never"/>
        <w:tblW w:w="948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9"/>
        <w:gridCol w:w="1700"/>
        <w:gridCol w:w="2974"/>
        <w:gridCol w:w="571"/>
        <w:gridCol w:w="645"/>
        <w:gridCol w:w="585"/>
        <w:gridCol w:w="795"/>
        <w:gridCol w:w="806"/>
        <w:gridCol w:w="499"/>
        <w:gridCol w:w="4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509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rFonts w:hint="eastAsia" w:ascii="宋体" w:hAnsi="宋体" w:eastAsia="宋体" w:cs="宋体"/>
                <w:i w:val="0"/>
                <w:iCs w:val="0"/>
                <w:caps w:val="0"/>
                <w:color w:val="auto"/>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rFonts w:hint="eastAsia" w:ascii="宋体" w:hAnsi="宋体" w:eastAsia="宋体" w:cs="宋体"/>
                <w:i w:val="0"/>
                <w:iCs w:val="0"/>
                <w:caps w:val="0"/>
                <w:color w:val="auto"/>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1286" w:right="222" w:hanging="1052"/>
              <w:rPr>
                <w:color w:val="auto"/>
              </w:rPr>
            </w:pPr>
            <w:r>
              <w:rPr>
                <w:rFonts w:hint="eastAsia" w:ascii="宋体" w:hAnsi="宋体" w:eastAsia="宋体" w:cs="宋体"/>
                <w:i w:val="0"/>
                <w:iCs w:val="0"/>
                <w:caps w:val="0"/>
                <w:color w:val="auto"/>
                <w:spacing w:val="0"/>
                <w:sz w:val="21"/>
                <w:szCs w:val="21"/>
              </w:rPr>
              <w:t>（本列数据的勾稽关系为：第一项加第二项之和，等于第三项加第四项之和）</w:t>
            </w:r>
          </w:p>
        </w:tc>
        <w:tc>
          <w:tcPr>
            <w:tcW w:w="4396" w:type="dxa"/>
            <w:gridSpan w:val="7"/>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0" w:afterAutospacing="0"/>
              <w:ind w:left="1868" w:right="1847"/>
              <w:jc w:val="center"/>
              <w:rPr>
                <w:color w:val="auto"/>
              </w:rPr>
            </w:pPr>
            <w:r>
              <w:rPr>
                <w:rFonts w:ascii="黑体" w:hAnsi="宋体" w:eastAsia="黑体" w:cs="黑体"/>
                <w:i w:val="0"/>
                <w:iCs w:val="0"/>
                <w:caps w:val="0"/>
                <w:color w:val="auto"/>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5" w:hRule="atLeast"/>
          <w:jc w:val="center"/>
        </w:trPr>
        <w:tc>
          <w:tcPr>
            <w:tcW w:w="50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71"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color w:val="auto"/>
              </w:rPr>
            </w:pPr>
            <w:r>
              <w:rPr>
                <w:rFonts w:ascii="Arial Unicode MS" w:hAnsi="Arial Unicode MS" w:eastAsia="Arial Unicode MS" w:cs="Arial Unicode MS"/>
                <w:i w:val="0"/>
                <w:iCs w:val="0"/>
                <w:caps w:val="0"/>
                <w:color w:val="auto"/>
                <w:spacing w:val="0"/>
                <w:sz w:val="14"/>
                <w:szCs w:val="1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314" w:right="190" w:hanging="106"/>
              <w:rPr>
                <w:color w:val="auto"/>
              </w:rPr>
            </w:pPr>
            <w:r>
              <w:rPr>
                <w:rFonts w:hint="eastAsia" w:ascii="黑体" w:hAnsi="宋体" w:eastAsia="黑体" w:cs="黑体"/>
                <w:i w:val="0"/>
                <w:iCs w:val="0"/>
                <w:caps w:val="0"/>
                <w:color w:val="auto"/>
                <w:spacing w:val="0"/>
                <w:sz w:val="21"/>
                <w:szCs w:val="21"/>
              </w:rPr>
              <w:t>自然人</w:t>
            </w:r>
          </w:p>
        </w:tc>
        <w:tc>
          <w:tcPr>
            <w:tcW w:w="3330" w:type="dxa"/>
            <w:gridSpan w:val="5"/>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7" w:beforeAutospacing="0" w:after="0" w:afterAutospacing="0"/>
              <w:ind w:left="839" w:right="0"/>
              <w:rPr>
                <w:color w:val="auto"/>
              </w:rPr>
            </w:pPr>
            <w:r>
              <w:rPr>
                <w:rFonts w:hint="eastAsia" w:ascii="黑体" w:hAnsi="宋体" w:eastAsia="黑体" w:cs="黑体"/>
                <w:i w:val="0"/>
                <w:iCs w:val="0"/>
                <w:caps w:val="0"/>
                <w:color w:val="auto"/>
                <w:spacing w:val="0"/>
                <w:sz w:val="21"/>
                <w:szCs w:val="21"/>
              </w:rPr>
              <w:t>法人或其他组织</w:t>
            </w:r>
          </w:p>
        </w:tc>
        <w:tc>
          <w:tcPr>
            <w:tcW w:w="495" w:type="dxa"/>
            <w:vMerge w:val="restart"/>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3"/>
                <w:szCs w:val="23"/>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9" w:right="0"/>
              <w:rPr>
                <w:color w:val="auto"/>
              </w:rPr>
            </w:pPr>
            <w:r>
              <w:rPr>
                <w:rFonts w:hint="eastAsia" w:ascii="黑体" w:hAnsi="宋体" w:eastAsia="黑体" w:cs="黑体"/>
                <w:i w:val="0"/>
                <w:iCs w:val="0"/>
                <w:caps w:val="0"/>
                <w:color w:val="auto"/>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0" w:hRule="atLeast"/>
          <w:jc w:val="center"/>
        </w:trPr>
        <w:tc>
          <w:tcPr>
            <w:tcW w:w="50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71"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78" w:right="58"/>
              <w:rPr>
                <w:color w:val="auto"/>
              </w:rPr>
            </w:pPr>
            <w:r>
              <w:rPr>
                <w:rFonts w:hint="eastAsia" w:ascii="黑体" w:hAnsi="宋体" w:eastAsia="黑体" w:cs="黑体"/>
                <w:i w:val="0"/>
                <w:iCs w:val="0"/>
                <w:caps w:val="0"/>
                <w:color w:val="auto"/>
                <w:spacing w:val="0"/>
                <w:sz w:val="21"/>
                <w:szCs w:val="21"/>
              </w:rPr>
              <w:t>商业企业</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77" w:right="59"/>
              <w:rPr>
                <w:color w:val="auto"/>
              </w:rPr>
            </w:pPr>
            <w:r>
              <w:rPr>
                <w:rFonts w:hint="eastAsia" w:ascii="黑体" w:hAnsi="宋体" w:eastAsia="黑体" w:cs="黑体"/>
                <w:i w:val="0"/>
                <w:iCs w:val="0"/>
                <w:caps w:val="0"/>
                <w:color w:val="auto"/>
                <w:spacing w:val="0"/>
                <w:sz w:val="21"/>
                <w:szCs w:val="21"/>
              </w:rPr>
              <w:t>科研机构</w:t>
            </w:r>
          </w:p>
        </w:tc>
        <w:tc>
          <w:tcPr>
            <w:tcW w:w="79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55" w:right="34"/>
              <w:rPr>
                <w:color w:val="auto"/>
              </w:rPr>
            </w:pPr>
            <w:r>
              <w:rPr>
                <w:rFonts w:hint="eastAsia" w:ascii="黑体" w:hAnsi="宋体" w:eastAsia="黑体" w:cs="黑体"/>
                <w:i w:val="0"/>
                <w:iCs w:val="0"/>
                <w:caps w:val="0"/>
                <w:color w:val="auto"/>
                <w:spacing w:val="0"/>
                <w:sz w:val="21"/>
                <w:szCs w:val="21"/>
              </w:rPr>
              <w:t>社会公益组织</w:t>
            </w:r>
          </w:p>
        </w:tc>
        <w:tc>
          <w:tcPr>
            <w:tcW w:w="806"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44" w:right="22"/>
              <w:rPr>
                <w:color w:val="auto"/>
              </w:rPr>
            </w:pPr>
            <w:r>
              <w:rPr>
                <w:rFonts w:hint="eastAsia" w:ascii="黑体" w:hAnsi="宋体" w:eastAsia="黑体" w:cs="黑体"/>
                <w:i w:val="0"/>
                <w:iCs w:val="0"/>
                <w:caps w:val="0"/>
                <w:color w:val="auto"/>
                <w:spacing w:val="0"/>
                <w:sz w:val="21"/>
                <w:szCs w:val="21"/>
              </w:rPr>
              <w:t>法律服务机构</w:t>
            </w:r>
          </w:p>
        </w:tc>
        <w:tc>
          <w:tcPr>
            <w:tcW w:w="499"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2"/>
                <w:szCs w:val="12"/>
              </w:rPr>
              <w:t> </w:t>
            </w:r>
            <w:r>
              <w:rPr>
                <w:rFonts w:hint="eastAsia" w:ascii="黑体" w:hAnsi="宋体" w:eastAsia="黑体" w:cs="黑体"/>
                <w:i w:val="0"/>
                <w:iCs w:val="0"/>
                <w:caps w:val="0"/>
                <w:color w:val="auto"/>
                <w:spacing w:val="0"/>
                <w:sz w:val="21"/>
                <w:szCs w:val="21"/>
              </w:rPr>
              <w:t>其他</w:t>
            </w:r>
          </w:p>
        </w:tc>
        <w:tc>
          <w:tcPr>
            <w:tcW w:w="495"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1" w:hRule="atLeast"/>
          <w:jc w:val="center"/>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108" w:right="0"/>
              <w:rPr>
                <w:color w:val="auto"/>
              </w:rPr>
            </w:pPr>
            <w:r>
              <w:rPr>
                <w:rFonts w:hint="eastAsia" w:ascii="黑体" w:hAnsi="宋体" w:eastAsia="黑体" w:cs="黑体"/>
                <w:i w:val="0"/>
                <w:iCs w:val="0"/>
                <w:caps w:val="0"/>
                <w:color w:val="auto"/>
                <w:spacing w:val="0"/>
                <w:sz w:val="21"/>
                <w:szCs w:val="21"/>
              </w:rPr>
              <w:t>一、本年新收政府信息公开申请数量</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4</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1</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2" w:hRule="atLeast"/>
          <w:jc w:val="center"/>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11" w:beforeAutospacing="0" w:after="0" w:afterAutospacing="0"/>
              <w:ind w:left="108" w:right="0"/>
              <w:rPr>
                <w:color w:val="auto"/>
              </w:rPr>
            </w:pPr>
            <w:r>
              <w:rPr>
                <w:rFonts w:hint="eastAsia" w:ascii="黑体" w:hAnsi="宋体" w:eastAsia="黑体" w:cs="黑体"/>
                <w:i w:val="0"/>
                <w:iCs w:val="0"/>
                <w:caps w:val="0"/>
                <w:color w:val="auto"/>
                <w:spacing w:val="0"/>
                <w:sz w:val="21"/>
                <w:szCs w:val="21"/>
              </w:rPr>
              <w:t>二、上年结转政府信息公开申请数量</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6" w:hRule="atLeast"/>
          <w:jc w:val="center"/>
        </w:trPr>
        <w:tc>
          <w:tcPr>
            <w:tcW w:w="419" w:type="dxa"/>
            <w:vMerge w:val="restart"/>
            <w:tcBorders>
              <w:top w:val="nil"/>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3"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6"/>
                <w:szCs w:val="16"/>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8" w:right="0"/>
              <w:rPr>
                <w:color w:val="auto"/>
              </w:rPr>
            </w:pPr>
            <w:r>
              <w:rPr>
                <w:rFonts w:hint="eastAsia" w:ascii="黑体" w:hAnsi="宋体" w:eastAsia="黑体" w:cs="黑体"/>
                <w:i w:val="0"/>
                <w:iCs w:val="0"/>
                <w:caps w:val="0"/>
                <w:color w:val="auto"/>
                <w:spacing w:val="0"/>
                <w:sz w:val="21"/>
                <w:szCs w:val="21"/>
              </w:rPr>
              <w:t>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76" w:lineRule="atLeast"/>
              <w:ind w:left="108" w:right="81"/>
              <w:jc w:val="both"/>
              <w:rPr>
                <w:color w:val="auto"/>
              </w:rPr>
            </w:pPr>
            <w:r>
              <w:rPr>
                <w:rFonts w:hint="eastAsia" w:ascii="黑体" w:hAnsi="宋体" w:eastAsia="黑体" w:cs="黑体"/>
                <w:i w:val="0"/>
                <w:iCs w:val="0"/>
                <w:caps w:val="0"/>
                <w:color w:val="auto"/>
                <w:spacing w:val="0"/>
                <w:sz w:val="21"/>
                <w:szCs w:val="21"/>
              </w:rPr>
              <w:t>、本年度办理结果</w:t>
            </w:r>
          </w:p>
        </w:tc>
        <w:tc>
          <w:tcPr>
            <w:tcW w:w="4674" w:type="dxa"/>
            <w:gridSpan w:val="2"/>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ind w:left="112" w:right="0"/>
              <w:rPr>
                <w:color w:val="auto"/>
              </w:rPr>
            </w:pPr>
            <w:r>
              <w:rPr>
                <w:rFonts w:hint="eastAsia" w:ascii="黑体" w:hAnsi="宋体" w:eastAsia="黑体" w:cs="黑体"/>
                <w:i w:val="0"/>
                <w:iCs w:val="0"/>
                <w:caps w:val="0"/>
                <w:color w:val="auto"/>
                <w:spacing w:val="0"/>
                <w:sz w:val="21"/>
                <w:szCs w:val="21"/>
              </w:rPr>
              <w:t>（一）予以公开</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4</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1</w:t>
            </w:r>
          </w:p>
        </w:tc>
        <w:tc>
          <w:tcPr>
            <w:tcW w:w="495" w:type="dxa"/>
            <w:tcBorders>
              <w:top w:val="single" w:color="000000" w:sz="8" w:space="0"/>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4674" w:type="dxa"/>
            <w:gridSpan w:val="2"/>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12" w:right="0"/>
              <w:rPr>
                <w:color w:val="auto"/>
              </w:rPr>
            </w:pPr>
            <w:r>
              <w:rPr>
                <w:rFonts w:hint="eastAsia" w:ascii="黑体" w:hAnsi="宋体" w:eastAsia="黑体" w:cs="黑体"/>
                <w:i w:val="0"/>
                <w:iCs w:val="0"/>
                <w:caps w:val="0"/>
                <w:color w:val="auto"/>
                <w:spacing w:val="0"/>
                <w:sz w:val="21"/>
                <w:szCs w:val="21"/>
              </w:rPr>
              <w:t>（二）部分公开（区分处理的，只计这一情形，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3" w:beforeAutospacing="0" w:after="0" w:afterAutospacing="0" w:line="266" w:lineRule="atLeast"/>
              <w:ind w:left="112" w:right="0"/>
              <w:rPr>
                <w:color w:val="auto"/>
              </w:rPr>
            </w:pPr>
            <w:r>
              <w:rPr>
                <w:rFonts w:hint="eastAsia" w:ascii="黑体" w:hAnsi="宋体" w:eastAsia="黑体" w:cs="黑体"/>
                <w:i w:val="0"/>
                <w:iCs w:val="0"/>
                <w:caps w:val="0"/>
                <w:color w:val="auto"/>
                <w:spacing w:val="0"/>
                <w:sz w:val="21"/>
                <w:szCs w:val="21"/>
              </w:rPr>
              <w:t>不计其他情形）</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5"/>
                <w:szCs w:val="15"/>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（三）不予公开</w:t>
            </w: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1.属于国家秘密</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single" w:color="000000" w:sz="8" w:space="0"/>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2.其他法律行政法规禁止公开</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3.危及“三安全一稳定”</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4.保护第三方合法权益</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5.属于三类内部事务信息</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6.属于四类过程性信息</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7.属于行政执法案卷</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8.属于行政查询事项</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9"/>
                <w:szCs w:val="2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（四）无法提供</w:t>
            </w: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1.本机关不掌握相关政府信息</w:t>
            </w:r>
          </w:p>
        </w:tc>
        <w:tc>
          <w:tcPr>
            <w:tcW w:w="571"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64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2.没有现成信息需要另行制作</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7"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3.补正后申请内容仍不明确</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0"/>
                <w:szCs w:val="2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18"/>
                <w:szCs w:val="1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 w:right="0"/>
              <w:rPr>
                <w:color w:val="auto"/>
              </w:rPr>
            </w:pPr>
            <w:r>
              <w:rPr>
                <w:rFonts w:hint="eastAsia" w:ascii="黑体" w:hAnsi="宋体" w:eastAsia="黑体" w:cs="黑体"/>
                <w:i w:val="0"/>
                <w:iCs w:val="0"/>
                <w:caps w:val="0"/>
                <w:color w:val="auto"/>
                <w:spacing w:val="0"/>
                <w:sz w:val="21"/>
                <w:szCs w:val="21"/>
              </w:rPr>
              <w:t>（五）不予处理</w:t>
            </w: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1.信访举报投诉类申请</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6"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2.重复申请</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3.要求提供公开出版物</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7"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113" w:right="0"/>
              <w:rPr>
                <w:color w:val="auto"/>
              </w:rPr>
            </w:pPr>
            <w:r>
              <w:rPr>
                <w:rFonts w:hint="eastAsia" w:ascii="仿宋_GB2312" w:hAnsi="微软雅黑" w:eastAsia="仿宋_GB2312" w:cs="仿宋_GB2312"/>
                <w:i w:val="0"/>
                <w:iCs w:val="0"/>
                <w:caps w:val="0"/>
                <w:color w:val="auto"/>
                <w:spacing w:val="0"/>
                <w:sz w:val="21"/>
                <w:szCs w:val="21"/>
              </w:rPr>
              <w:t>4.无正当理由大量反复申请</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0"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13" w:right="0"/>
              <w:jc w:val="both"/>
              <w:rPr>
                <w:color w:val="auto"/>
              </w:rPr>
            </w:pPr>
            <w:r>
              <w:rPr>
                <w:rFonts w:hint="eastAsia" w:ascii="仿宋_GB2312" w:hAnsi="微软雅黑" w:eastAsia="仿宋_GB2312" w:cs="仿宋_GB2312"/>
                <w:i w:val="0"/>
                <w:iCs w:val="0"/>
                <w:caps w:val="0"/>
                <w:color w:val="auto"/>
                <w:spacing w:val="0"/>
                <w:sz w:val="21"/>
                <w:szCs w:val="21"/>
              </w:rPr>
              <w:t>5.要求行政机关确认或重新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4" w:lineRule="atLeast"/>
              <w:ind w:left="321" w:right="0"/>
              <w:jc w:val="both"/>
              <w:rPr>
                <w:color w:val="auto"/>
              </w:rPr>
            </w:pPr>
            <w:r>
              <w:rPr>
                <w:rFonts w:hint="eastAsia" w:ascii="仿宋_GB2312" w:hAnsi="微软雅黑" w:eastAsia="仿宋_GB2312" w:cs="仿宋_GB2312"/>
                <w:i w:val="0"/>
                <w:iCs w:val="0"/>
                <w:caps w:val="0"/>
                <w:color w:val="auto"/>
                <w:spacing w:val="0"/>
                <w:sz w:val="21"/>
                <w:szCs w:val="21"/>
              </w:rPr>
              <w:t>出具已获取信息</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ind w:left="112" w:right="0"/>
              <w:jc w:val="both"/>
              <w:rPr>
                <w:color w:val="auto"/>
              </w:rPr>
            </w:pPr>
            <w:r>
              <w:rPr>
                <w:rFonts w:hint="eastAsia" w:ascii="黑体" w:hAnsi="宋体" w:eastAsia="黑体" w:cs="黑体"/>
                <w:i w:val="0"/>
                <w:iCs w:val="0"/>
                <w:caps w:val="0"/>
                <w:color w:val="auto"/>
                <w:spacing w:val="0"/>
                <w:sz w:val="21"/>
                <w:szCs w:val="21"/>
              </w:rPr>
              <w:t>（六）其他处理</w:t>
            </w: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197" w:right="-15" w:firstLine="0"/>
              <w:jc w:val="both"/>
              <w:rPr>
                <w:color w:val="auto"/>
              </w:rPr>
            </w:pPr>
            <w:r>
              <w:rPr>
                <w:rFonts w:hint="eastAsia" w:ascii="仿宋_GB2312" w:hAnsi="微软雅黑" w:eastAsia="仿宋_GB2312" w:cs="仿宋_GB2312"/>
                <w:i w:val="0"/>
                <w:iCs w:val="0"/>
                <w:caps w:val="0"/>
                <w:color w:val="auto"/>
                <w:spacing w:val="0"/>
                <w:sz w:val="21"/>
                <w:szCs w:val="21"/>
              </w:rPr>
              <w:t>1.</w:t>
            </w:r>
            <w:r>
              <w:rPr>
                <w:rFonts w:hint="eastAsia" w:ascii="仿宋_GB2312" w:hAnsi="微软雅黑" w:eastAsia="仿宋_GB2312" w:cs="仿宋_GB2312"/>
                <w:i w:val="0"/>
                <w:iCs w:val="0"/>
                <w:caps w:val="0"/>
                <w:color w:val="auto"/>
                <w:spacing w:val="17"/>
                <w:sz w:val="21"/>
                <w:szCs w:val="21"/>
              </w:rPr>
              <w:t>申请人无正当理由逾期不补</w:t>
            </w:r>
            <w:r>
              <w:rPr>
                <w:rFonts w:hint="eastAsia" w:ascii="仿宋_GB2312" w:hAnsi="微软雅黑" w:eastAsia="仿宋_GB2312" w:cs="仿宋_GB2312"/>
                <w:i w:val="0"/>
                <w:iCs w:val="0"/>
                <w:caps w:val="0"/>
                <w:color w:val="auto"/>
                <w:spacing w:val="0"/>
                <w:sz w:val="21"/>
                <w:szCs w:val="21"/>
              </w:rPr>
              <w:t>正、行政机关不再处理其政府信息公开申请</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210" w:right="-15" w:firstLine="0"/>
              <w:jc w:val="both"/>
              <w:rPr>
                <w:color w:val="auto"/>
              </w:rPr>
            </w:pPr>
            <w:r>
              <w:rPr>
                <w:rFonts w:hint="eastAsia" w:ascii="仿宋_GB2312" w:hAnsi="微软雅黑" w:eastAsia="仿宋_GB2312" w:cs="仿宋_GB2312"/>
                <w:i w:val="0"/>
                <w:iCs w:val="0"/>
                <w:caps w:val="0"/>
                <w:color w:val="auto"/>
                <w:spacing w:val="0"/>
                <w:sz w:val="21"/>
                <w:szCs w:val="21"/>
              </w:rPr>
              <w:t>2.申请人逾期未按收费通知要求缴纳费用、行政机关不再处理其政府信息公开申请</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1700"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2974"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firstLine="210"/>
              <w:jc w:val="both"/>
              <w:rPr>
                <w:color w:val="auto"/>
              </w:rPr>
            </w:pPr>
            <w:r>
              <w:rPr>
                <w:rFonts w:hint="eastAsia" w:ascii="仿宋_GB2312" w:hAnsi="微软雅黑" w:eastAsia="仿宋_GB2312" w:cs="仿宋_GB2312"/>
                <w:i w:val="0"/>
                <w:iCs w:val="0"/>
                <w:caps w:val="0"/>
                <w:color w:val="auto"/>
                <w:spacing w:val="0"/>
                <w:sz w:val="21"/>
                <w:szCs w:val="21"/>
              </w:rPr>
              <w:t>3.其他</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jc w:val="center"/>
        </w:trPr>
        <w:tc>
          <w:tcPr>
            <w:tcW w:w="419"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4674" w:type="dxa"/>
            <w:gridSpan w:val="2"/>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jc w:val="both"/>
              <w:rPr>
                <w:color w:val="auto"/>
              </w:rPr>
            </w:pPr>
            <w:r>
              <w:rPr>
                <w:rFonts w:hint="eastAsia" w:ascii="黑体" w:hAnsi="宋体" w:eastAsia="黑体" w:cs="黑体"/>
                <w:i w:val="0"/>
                <w:iCs w:val="0"/>
                <w:caps w:val="0"/>
                <w:color w:val="auto"/>
                <w:spacing w:val="0"/>
                <w:sz w:val="21"/>
                <w:szCs w:val="21"/>
              </w:rPr>
              <w:t>（七）总计</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4</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1</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2"/>
                <w:szCs w:val="2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jc w:val="center"/>
        </w:trPr>
        <w:tc>
          <w:tcPr>
            <w:tcW w:w="5093" w:type="dxa"/>
            <w:gridSpan w:val="3"/>
            <w:tcBorders>
              <w:top w:val="nil"/>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line="247" w:lineRule="atLeast"/>
              <w:ind w:left="0" w:right="-15" w:firstLine="210"/>
              <w:jc w:val="both"/>
              <w:rPr>
                <w:color w:val="auto"/>
              </w:rPr>
            </w:pPr>
            <w:r>
              <w:rPr>
                <w:rFonts w:hint="eastAsia" w:ascii="黑体" w:hAnsi="宋体" w:eastAsia="黑体" w:cs="黑体"/>
                <w:i w:val="0"/>
                <w:iCs w:val="0"/>
                <w:caps w:val="0"/>
                <w:color w:val="auto"/>
                <w:spacing w:val="0"/>
                <w:sz w:val="21"/>
                <w:szCs w:val="21"/>
              </w:rPr>
              <w:t>四、结转下年度继续办理</w:t>
            </w:r>
          </w:p>
        </w:tc>
        <w:tc>
          <w:tcPr>
            <w:tcW w:w="571"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64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58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7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806"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9"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c>
          <w:tcPr>
            <w:tcW w:w="49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2"/>
                <w:szCs w:val="22"/>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auto"/>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7" w:hRule="atLeast"/>
          <w:jc w:val="center"/>
        </w:trPr>
        <w:tc>
          <w:tcPr>
            <w:tcW w:w="3074" w:type="dxa"/>
            <w:gridSpan w:val="5"/>
            <w:tcBorders>
              <w:top w:val="single" w:color="000000" w:sz="8" w:space="0"/>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1116" w:right="1098"/>
              <w:jc w:val="center"/>
              <w:rPr>
                <w:color w:val="auto"/>
              </w:rPr>
            </w:pPr>
            <w:r>
              <w:rPr>
                <w:rFonts w:ascii="黑体" w:hAnsi="宋体" w:eastAsia="黑体" w:cs="黑体"/>
                <w:i w:val="0"/>
                <w:iCs w:val="0"/>
                <w:caps w:val="0"/>
                <w:color w:val="auto"/>
                <w:spacing w:val="0"/>
                <w:sz w:val="20"/>
                <w:szCs w:val="20"/>
              </w:rPr>
              <w:t>行政复议</w:t>
            </w:r>
          </w:p>
        </w:tc>
        <w:tc>
          <w:tcPr>
            <w:tcW w:w="5997" w:type="dxa"/>
            <w:gridSpan w:val="10"/>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2575" w:right="2561"/>
              <w:jc w:val="center"/>
              <w:rPr>
                <w:color w:val="auto"/>
              </w:rPr>
            </w:pPr>
            <w:r>
              <w:rPr>
                <w:rFonts w:hint="eastAsia" w:ascii="黑体" w:hAnsi="宋体" w:eastAsia="黑体" w:cs="黑体"/>
                <w:i w:val="0"/>
                <w:iCs w:val="0"/>
                <w:caps w:val="0"/>
                <w:color w:val="auto"/>
                <w:spacing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6" w:hRule="atLeast"/>
          <w:jc w:val="center"/>
        </w:trPr>
        <w:tc>
          <w:tcPr>
            <w:tcW w:w="604" w:type="dxa"/>
            <w:vMerge w:val="restart"/>
            <w:tcBorders>
              <w:top w:val="nil"/>
              <w:left w:val="single" w:color="000000" w:sz="8" w:space="0"/>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ascii="Arial Unicode MS" w:hAnsi="Arial Unicode MS" w:eastAsia="Arial Unicode MS" w:cs="Arial Unicode MS"/>
                <w:i w:val="0"/>
                <w:iCs w:val="0"/>
                <w:caps w:val="0"/>
                <w:color w:val="auto"/>
                <w:spacing w:val="0"/>
                <w:sz w:val="25"/>
                <w:szCs w:val="25"/>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11" w:right="71"/>
              <w:rPr>
                <w:color w:val="auto"/>
              </w:rPr>
            </w:pPr>
            <w:r>
              <w:rPr>
                <w:rFonts w:hint="eastAsia" w:ascii="黑体" w:hAnsi="宋体" w:eastAsia="黑体" w:cs="黑体"/>
                <w:i w:val="0"/>
                <w:iCs w:val="0"/>
                <w:caps w:val="0"/>
                <w:color w:val="auto"/>
                <w:spacing w:val="0"/>
                <w:sz w:val="20"/>
                <w:szCs w:val="20"/>
              </w:rPr>
              <w:t>结果维持</w:t>
            </w:r>
          </w:p>
        </w:tc>
        <w:tc>
          <w:tcPr>
            <w:tcW w:w="604" w:type="dxa"/>
            <w:vMerge w:val="restart"/>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46" w:right="37"/>
              <w:rPr>
                <w:color w:val="auto"/>
              </w:rPr>
            </w:pPr>
            <w:r>
              <w:rPr>
                <w:rFonts w:hint="eastAsia" w:ascii="黑体" w:hAnsi="宋体" w:eastAsia="黑体" w:cs="黑体"/>
                <w:i w:val="0"/>
                <w:iCs w:val="0"/>
                <w:caps w:val="0"/>
                <w:color w:val="auto"/>
                <w:spacing w:val="0"/>
                <w:sz w:val="20"/>
                <w:szCs w:val="20"/>
              </w:rPr>
              <w:t>结果纠正</w:t>
            </w:r>
          </w:p>
        </w:tc>
        <w:tc>
          <w:tcPr>
            <w:tcW w:w="604" w:type="dxa"/>
            <w:vMerge w:val="restart"/>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8" w:right="75"/>
              <w:rPr>
                <w:color w:val="auto"/>
              </w:rPr>
            </w:pPr>
            <w:r>
              <w:rPr>
                <w:rFonts w:hint="eastAsia" w:ascii="黑体" w:hAnsi="宋体" w:eastAsia="黑体" w:cs="黑体"/>
                <w:i w:val="0"/>
                <w:iCs w:val="0"/>
                <w:caps w:val="0"/>
                <w:color w:val="auto"/>
                <w:spacing w:val="0"/>
                <w:sz w:val="20"/>
                <w:szCs w:val="20"/>
              </w:rPr>
              <w:t>其他结果</w:t>
            </w:r>
          </w:p>
        </w:tc>
        <w:tc>
          <w:tcPr>
            <w:tcW w:w="604" w:type="dxa"/>
            <w:vMerge w:val="restart"/>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5"/>
                <w:szCs w:val="25"/>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102" w:right="81"/>
              <w:rPr>
                <w:color w:val="auto"/>
              </w:rPr>
            </w:pPr>
            <w:r>
              <w:rPr>
                <w:rFonts w:hint="eastAsia" w:ascii="黑体" w:hAnsi="宋体" w:eastAsia="黑体" w:cs="黑体"/>
                <w:i w:val="0"/>
                <w:iCs w:val="0"/>
                <w:caps w:val="0"/>
                <w:color w:val="auto"/>
                <w:spacing w:val="0"/>
                <w:sz w:val="20"/>
                <w:szCs w:val="20"/>
              </w:rPr>
              <w:t>尚未审结</w:t>
            </w:r>
          </w:p>
        </w:tc>
        <w:tc>
          <w:tcPr>
            <w:tcW w:w="658" w:type="dxa"/>
            <w:vMerge w:val="restart"/>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color w:val="auto"/>
              </w:rPr>
            </w:pPr>
            <w:r>
              <w:rPr>
                <w:rFonts w:hint="default" w:ascii="Arial Unicode MS" w:hAnsi="Arial Unicode MS" w:eastAsia="Arial Unicode MS" w:cs="Arial Unicode MS"/>
                <w:i w:val="0"/>
                <w:iCs w:val="0"/>
                <w:caps w:val="0"/>
                <w:color w:val="auto"/>
                <w:spacing w:val="0"/>
                <w:sz w:val="27"/>
                <w:szCs w:val="27"/>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8" w:right="210"/>
              <w:rPr>
                <w:color w:val="auto"/>
              </w:rPr>
            </w:pPr>
            <w:r>
              <w:rPr>
                <w:rFonts w:hint="eastAsia" w:ascii="黑体" w:hAnsi="宋体" w:eastAsia="黑体" w:cs="黑体"/>
                <w:i w:val="0"/>
                <w:iCs w:val="0"/>
                <w:caps w:val="0"/>
                <w:color w:val="auto"/>
                <w:spacing w:val="0"/>
                <w:sz w:val="20"/>
                <w:szCs w:val="20"/>
              </w:rPr>
              <w:t>总计</w:t>
            </w:r>
          </w:p>
        </w:tc>
        <w:tc>
          <w:tcPr>
            <w:tcW w:w="2970" w:type="dxa"/>
            <w:gridSpan w:val="5"/>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683" w:right="0"/>
              <w:rPr>
                <w:color w:val="auto"/>
              </w:rPr>
            </w:pPr>
            <w:r>
              <w:rPr>
                <w:rFonts w:hint="eastAsia" w:ascii="黑体" w:hAnsi="宋体" w:eastAsia="黑体" w:cs="黑体"/>
                <w:i w:val="0"/>
                <w:iCs w:val="0"/>
                <w:caps w:val="0"/>
                <w:color w:val="auto"/>
                <w:spacing w:val="0"/>
                <w:sz w:val="20"/>
                <w:szCs w:val="20"/>
              </w:rPr>
              <w:t>未经复议直接起诉</w:t>
            </w:r>
          </w:p>
        </w:tc>
        <w:tc>
          <w:tcPr>
            <w:tcW w:w="3027" w:type="dxa"/>
            <w:gridSpan w:val="5"/>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1013" w:right="0"/>
              <w:rPr>
                <w:color w:val="auto"/>
              </w:rPr>
            </w:pPr>
            <w:r>
              <w:rPr>
                <w:rFonts w:hint="eastAsia" w:ascii="黑体" w:hAnsi="宋体" w:eastAsia="黑体" w:cs="黑体"/>
                <w:i w:val="0"/>
                <w:iCs w:val="0"/>
                <w:caps w:val="0"/>
                <w:color w:val="auto"/>
                <w:spacing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6" w:hRule="atLeast"/>
          <w:jc w:val="center"/>
        </w:trPr>
        <w:tc>
          <w:tcPr>
            <w:tcW w:w="604" w:type="dxa"/>
            <w:vMerge w:val="continue"/>
            <w:tcBorders>
              <w:top w:val="nil"/>
              <w:left w:val="single" w:color="000000" w:sz="8" w:space="0"/>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nil"/>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04"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658" w:type="dxa"/>
            <w:vMerge w:val="continue"/>
            <w:tcBorders>
              <w:top w:val="single" w:color="000000" w:sz="8" w:space="0"/>
              <w:left w:val="nil"/>
              <w:bottom w:val="single" w:color="000000" w:sz="8" w:space="0"/>
              <w:right w:val="single" w:color="000000" w:sz="8" w:space="0"/>
            </w:tcBorders>
            <w:shd w:val="clear" w:color="auto" w:fill="FFFFFF"/>
            <w:vAlign w:val="top"/>
          </w:tcPr>
          <w:p>
            <w:pPr>
              <w:rPr>
                <w:rFonts w:hint="eastAsia" w:ascii="微软雅黑" w:hAnsi="微软雅黑" w:eastAsia="微软雅黑" w:cs="微软雅黑"/>
                <w:i w:val="0"/>
                <w:iCs w:val="0"/>
                <w:caps w:val="0"/>
                <w:color w:val="auto"/>
                <w:spacing w:val="0"/>
                <w:sz w:val="27"/>
                <w:szCs w:val="27"/>
              </w:rPr>
            </w:pPr>
          </w:p>
        </w:tc>
        <w:tc>
          <w:tcPr>
            <w:tcW w:w="550"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3" w:right="46"/>
              <w:rPr>
                <w:color w:val="auto"/>
              </w:rPr>
            </w:pPr>
            <w:r>
              <w:rPr>
                <w:rFonts w:hint="eastAsia" w:ascii="黑体" w:hAnsi="宋体" w:eastAsia="黑体" w:cs="黑体"/>
                <w:i w:val="0"/>
                <w:iCs w:val="0"/>
                <w:caps w:val="0"/>
                <w:color w:val="auto"/>
                <w:spacing w:val="0"/>
                <w:sz w:val="20"/>
                <w:szCs w:val="20"/>
              </w:rPr>
              <w:t>结果维持</w:t>
            </w:r>
          </w:p>
        </w:tc>
        <w:tc>
          <w:tcPr>
            <w:tcW w:w="605" w:type="dxa"/>
            <w:tcBorders>
              <w:top w:val="nil"/>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2" w:right="82"/>
              <w:rPr>
                <w:color w:val="auto"/>
              </w:rPr>
            </w:pPr>
            <w:r>
              <w:rPr>
                <w:rFonts w:hint="eastAsia" w:ascii="黑体" w:hAnsi="宋体" w:eastAsia="黑体" w:cs="黑体"/>
                <w:i w:val="0"/>
                <w:iCs w:val="0"/>
                <w:caps w:val="0"/>
                <w:color w:val="auto"/>
                <w:spacing w:val="0"/>
                <w:sz w:val="20"/>
                <w:szCs w:val="20"/>
              </w:rPr>
              <w:t>结果纠正</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07" w:right="77"/>
              <w:rPr>
                <w:color w:val="auto"/>
              </w:rPr>
            </w:pPr>
            <w:r>
              <w:rPr>
                <w:rFonts w:hint="eastAsia" w:ascii="黑体" w:hAnsi="宋体" w:eastAsia="黑体" w:cs="黑体"/>
                <w:i w:val="0"/>
                <w:iCs w:val="0"/>
                <w:caps w:val="0"/>
                <w:color w:val="auto"/>
                <w:spacing w:val="0"/>
                <w:sz w:val="20"/>
                <w:szCs w:val="20"/>
              </w:rPr>
              <w:t>其他结果</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7" w:right="87"/>
              <w:rPr>
                <w:color w:val="auto"/>
              </w:rPr>
            </w:pPr>
            <w:r>
              <w:rPr>
                <w:rFonts w:hint="eastAsia" w:ascii="黑体" w:hAnsi="宋体" w:eastAsia="黑体" w:cs="黑体"/>
                <w:i w:val="0"/>
                <w:iCs w:val="0"/>
                <w:caps w:val="0"/>
                <w:color w:val="auto"/>
                <w:spacing w:val="0"/>
                <w:sz w:val="20"/>
                <w:szCs w:val="20"/>
              </w:rPr>
              <w:t>尚未审结</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2" w:right="181"/>
              <w:rPr>
                <w:color w:val="auto"/>
              </w:rPr>
            </w:pPr>
            <w:r>
              <w:rPr>
                <w:rFonts w:hint="eastAsia" w:ascii="黑体" w:hAnsi="宋体" w:eastAsia="黑体" w:cs="黑体"/>
                <w:i w:val="0"/>
                <w:iCs w:val="0"/>
                <w:caps w:val="0"/>
                <w:color w:val="auto"/>
                <w:spacing w:val="0"/>
                <w:sz w:val="20"/>
                <w:szCs w:val="20"/>
              </w:rPr>
              <w:t>总计</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2" w:right="92"/>
              <w:rPr>
                <w:color w:val="auto"/>
              </w:rPr>
            </w:pPr>
            <w:r>
              <w:rPr>
                <w:rFonts w:hint="eastAsia" w:ascii="黑体" w:hAnsi="宋体" w:eastAsia="黑体" w:cs="黑体"/>
                <w:i w:val="0"/>
                <w:iCs w:val="0"/>
                <w:caps w:val="0"/>
                <w:color w:val="auto"/>
                <w:spacing w:val="0"/>
                <w:sz w:val="20"/>
                <w:szCs w:val="20"/>
              </w:rPr>
              <w:t>结果维持</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96" w:right="88"/>
              <w:rPr>
                <w:color w:val="auto"/>
              </w:rPr>
            </w:pPr>
            <w:r>
              <w:rPr>
                <w:rFonts w:hint="eastAsia" w:ascii="黑体" w:hAnsi="宋体" w:eastAsia="黑体" w:cs="黑体"/>
                <w:i w:val="0"/>
                <w:iCs w:val="0"/>
                <w:caps w:val="0"/>
                <w:color w:val="auto"/>
                <w:spacing w:val="0"/>
                <w:sz w:val="20"/>
                <w:szCs w:val="20"/>
              </w:rPr>
              <w:t>结果纠正</w:t>
            </w:r>
          </w:p>
        </w:tc>
        <w:tc>
          <w:tcPr>
            <w:tcW w:w="605"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82" w:right="102"/>
              <w:rPr>
                <w:color w:val="auto"/>
              </w:rPr>
            </w:pPr>
            <w:r>
              <w:rPr>
                <w:rFonts w:hint="eastAsia" w:ascii="黑体" w:hAnsi="宋体" w:eastAsia="黑体" w:cs="黑体"/>
                <w:i w:val="0"/>
                <w:iCs w:val="0"/>
                <w:caps w:val="0"/>
                <w:color w:val="auto"/>
                <w:spacing w:val="0"/>
                <w:sz w:val="20"/>
                <w:szCs w:val="20"/>
              </w:rPr>
              <w:t>其他结果</w:t>
            </w:r>
          </w:p>
        </w:tc>
        <w:tc>
          <w:tcPr>
            <w:tcW w:w="606"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122" w:right="63" w:hanging="3"/>
              <w:rPr>
                <w:color w:val="auto"/>
              </w:rPr>
            </w:pPr>
            <w:r>
              <w:rPr>
                <w:rFonts w:hint="eastAsia" w:ascii="黑体" w:hAnsi="宋体" w:eastAsia="黑体" w:cs="黑体"/>
                <w:i w:val="0"/>
                <w:iCs w:val="0"/>
                <w:caps w:val="0"/>
                <w:color w:val="auto"/>
                <w:spacing w:val="0"/>
                <w:sz w:val="20"/>
                <w:szCs w:val="20"/>
              </w:rPr>
              <w:t>尚未审结</w:t>
            </w:r>
          </w:p>
        </w:tc>
        <w:tc>
          <w:tcPr>
            <w:tcW w:w="606" w:type="dxa"/>
            <w:tcBorders>
              <w:top w:val="single" w:color="000000" w:sz="8" w:space="0"/>
              <w:left w:val="nil"/>
              <w:bottom w:val="single" w:color="000000" w:sz="8" w:space="0"/>
              <w:right w:val="single" w:color="000000" w:sz="8"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line="290" w:lineRule="atLeast"/>
              <w:ind w:left="203" w:right="183"/>
              <w:rPr>
                <w:color w:val="auto"/>
              </w:rPr>
            </w:pPr>
            <w:r>
              <w:rPr>
                <w:rFonts w:hint="eastAsia" w:ascii="黑体" w:hAnsi="宋体" w:eastAsia="黑体" w:cs="黑体"/>
                <w:i w:val="0"/>
                <w:iCs w:val="0"/>
                <w:caps w:val="0"/>
                <w:color w:val="auto"/>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1" w:hRule="atLeast"/>
          <w:jc w:val="center"/>
        </w:trPr>
        <w:tc>
          <w:tcPr>
            <w:tcW w:w="604" w:type="dxa"/>
            <w:tcBorders>
              <w:top w:val="nil"/>
              <w:left w:val="single" w:color="000000" w:sz="8" w:space="0"/>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604"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4"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4"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658"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eastAsia="zh-CN"/>
              </w:rPr>
            </w:pPr>
            <w:r>
              <w:rPr>
                <w:rFonts w:hint="eastAsia" w:ascii="Times New Roman" w:hAnsi="Times New Roman" w:eastAsia="仿宋_GB2312" w:cs="Times New Roman"/>
                <w:i w:val="0"/>
                <w:iCs w:val="0"/>
                <w:caps w:val="0"/>
                <w:color w:val="auto"/>
                <w:spacing w:val="0"/>
                <w:sz w:val="26"/>
                <w:szCs w:val="26"/>
                <w:lang w:val="en-US" w:eastAsia="zh-CN"/>
              </w:rPr>
              <w:t>0</w:t>
            </w:r>
          </w:p>
        </w:tc>
        <w:tc>
          <w:tcPr>
            <w:tcW w:w="550"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5"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c>
          <w:tcPr>
            <w:tcW w:w="606" w:type="dxa"/>
            <w:tcBorders>
              <w:top w:val="nil"/>
              <w:left w:val="nil"/>
              <w:bottom w:val="single" w:color="000000" w:sz="8" w:space="0"/>
              <w:right w:val="single" w:color="000000" w:sz="8"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default" w:ascii="Times New Roman" w:hAnsi="Times New Roman" w:eastAsia="仿宋_GB2312" w:cs="Times New Roman"/>
                <w:i w:val="0"/>
                <w:iCs w:val="0"/>
                <w:caps w:val="0"/>
                <w:color w:val="auto"/>
                <w:spacing w:val="0"/>
                <w:sz w:val="26"/>
                <w:szCs w:val="26"/>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auto"/>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政府信息公开工作存在的主要问题及改进情况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i w:val="0"/>
          <w:iCs w:val="0"/>
          <w:caps w:val="0"/>
          <w:color w:val="FF0000"/>
          <w:spacing w:val="0"/>
          <w:sz w:val="32"/>
          <w:szCs w:val="32"/>
          <w:highlight w:val="none"/>
          <w:shd w:val="clear" w:fill="FFFFFF"/>
          <w:lang w:val="en-US" w:eastAsia="zh-CN"/>
        </w:rPr>
      </w:pPr>
      <w:r>
        <w:rPr>
          <w:rFonts w:ascii="仿宋_GB2312" w:hAnsi="宋体" w:eastAsia="仿宋_GB2312" w:cs="仿宋_GB2312"/>
          <w:i w:val="0"/>
          <w:iCs w:val="0"/>
          <w:caps w:val="0"/>
          <w:color w:val="auto"/>
          <w:spacing w:val="0"/>
          <w:sz w:val="32"/>
          <w:szCs w:val="32"/>
          <w:shd w:val="clear" w:fill="FFFFFF"/>
        </w:rPr>
        <w:t>202</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hint="eastAsia" w:ascii="仿宋_GB2312" w:hAnsi="宋体"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淄博市公共资源交易中心在</w:t>
      </w:r>
      <w:r>
        <w:rPr>
          <w:rFonts w:hint="eastAsia" w:ascii="仿宋_GB2312" w:hAnsi="宋体" w:eastAsia="仿宋_GB2312" w:cs="仿宋_GB2312"/>
          <w:i w:val="0"/>
          <w:iCs w:val="0"/>
          <w:caps w:val="0"/>
          <w:color w:val="auto"/>
          <w:spacing w:val="0"/>
          <w:sz w:val="32"/>
          <w:szCs w:val="32"/>
          <w:shd w:val="clear" w:fill="FFFFFF"/>
        </w:rPr>
        <w:t>政府信息公开工作</w:t>
      </w:r>
      <w:r>
        <w:rPr>
          <w:rFonts w:hint="eastAsia" w:ascii="仿宋_GB2312" w:hAnsi="宋体" w:eastAsia="仿宋_GB2312" w:cs="仿宋_GB2312"/>
          <w:i w:val="0"/>
          <w:iCs w:val="0"/>
          <w:caps w:val="0"/>
          <w:color w:val="auto"/>
          <w:spacing w:val="0"/>
          <w:sz w:val="32"/>
          <w:szCs w:val="32"/>
          <w:shd w:val="clear" w:fill="FFFFFF"/>
          <w:lang w:val="en-US" w:eastAsia="zh-CN"/>
        </w:rPr>
        <w:t>中取得了一定成效</w:t>
      </w:r>
      <w:r>
        <w:rPr>
          <w:rFonts w:hint="eastAsia" w:ascii="仿宋_GB2312" w:hAnsi="宋体" w:eastAsia="仿宋_GB2312" w:cs="仿宋_GB2312"/>
          <w:i w:val="0"/>
          <w:iCs w:val="0"/>
          <w:caps w:val="0"/>
          <w:color w:val="auto"/>
          <w:spacing w:val="0"/>
          <w:sz w:val="32"/>
          <w:szCs w:val="32"/>
          <w:shd w:val="clear" w:fill="FFFFFF"/>
        </w:rPr>
        <w:t>，但</w:t>
      </w:r>
      <w:r>
        <w:rPr>
          <w:rFonts w:hint="eastAsia" w:ascii="仿宋_GB2312" w:hAnsi="宋体" w:eastAsia="仿宋_GB2312" w:cs="仿宋_GB2312"/>
          <w:i w:val="0"/>
          <w:iCs w:val="0"/>
          <w:caps w:val="0"/>
          <w:color w:val="auto"/>
          <w:spacing w:val="0"/>
          <w:sz w:val="32"/>
          <w:szCs w:val="32"/>
          <w:shd w:val="clear" w:fill="FFFFFF"/>
          <w:lang w:val="en-US" w:eastAsia="zh-CN"/>
        </w:rPr>
        <w:t>也</w:t>
      </w:r>
      <w:r>
        <w:rPr>
          <w:rFonts w:hint="eastAsia" w:ascii="仿宋_GB2312" w:hAnsi="宋体" w:eastAsia="仿宋_GB2312" w:cs="仿宋_GB2312"/>
          <w:i w:val="0"/>
          <w:iCs w:val="0"/>
          <w:caps w:val="0"/>
          <w:color w:val="auto"/>
          <w:spacing w:val="0"/>
          <w:sz w:val="32"/>
          <w:szCs w:val="32"/>
          <w:shd w:val="clear" w:fill="FFFFFF"/>
        </w:rPr>
        <w:t>存在</w:t>
      </w:r>
      <w:r>
        <w:rPr>
          <w:rFonts w:hint="eastAsia" w:ascii="仿宋_GB2312" w:hAnsi="宋体" w:eastAsia="仿宋_GB2312" w:cs="仿宋_GB2312"/>
          <w:i w:val="0"/>
          <w:iCs w:val="0"/>
          <w:caps w:val="0"/>
          <w:color w:val="auto"/>
          <w:spacing w:val="0"/>
          <w:sz w:val="32"/>
          <w:szCs w:val="32"/>
          <w:shd w:val="clear" w:fill="FFFFFF"/>
          <w:lang w:val="en-US" w:eastAsia="zh-CN"/>
        </w:rPr>
        <w:t>一些问题：</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一是信息公开的广度和深度有待加强；二是信息公开的形式有待拓展。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一是</w:t>
      </w:r>
      <w:r>
        <w:rPr>
          <w:rFonts w:hint="eastAsia" w:ascii="楷体_GB2312" w:hAnsi="楷体_GB2312" w:eastAsia="楷体_GB2312" w:cs="楷体_GB2312"/>
          <w:i w:val="0"/>
          <w:iCs w:val="0"/>
          <w:caps w:val="0"/>
          <w:color w:val="auto"/>
          <w:spacing w:val="0"/>
          <w:sz w:val="32"/>
          <w:szCs w:val="32"/>
          <w:highlight w:val="none"/>
          <w:shd w:val="clear" w:fill="FFFFFF"/>
        </w:rPr>
        <w:t>加强政务公开培训</w:t>
      </w: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认真学习了标杆城市在重大决策公开、政策解读、政民互动、平台建设等方面的经验做法，开展政务公开业务培训，对既有的政务公开问题反思不足，及时改进。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楷体_GB2312" w:hAnsi="楷体_GB2312" w:eastAsia="楷体_GB2312" w:cs="楷体_GB2312"/>
          <w:i w:val="0"/>
          <w:iCs w:val="0"/>
          <w:caps w:val="0"/>
          <w:color w:val="auto"/>
          <w:spacing w:val="0"/>
          <w:sz w:val="32"/>
          <w:szCs w:val="32"/>
          <w:highlight w:val="none"/>
          <w:u w:val="none"/>
          <w:shd w:val="clear" w:fill="FFFFFF"/>
          <w:lang w:val="en-US" w:eastAsia="zh-CN"/>
        </w:rPr>
        <w:t>二是丰富政务公开渠道。</w:t>
      </w:r>
      <w:r>
        <w:rPr>
          <w:rFonts w:hint="eastAsia" w:ascii="仿宋_GB2312" w:hAnsi="仿宋_GB2312" w:eastAsia="仿宋_GB2312" w:cs="仿宋_GB2312"/>
          <w:i w:val="0"/>
          <w:iCs w:val="0"/>
          <w:caps w:val="0"/>
          <w:color w:val="auto"/>
          <w:spacing w:val="0"/>
          <w:sz w:val="32"/>
          <w:szCs w:val="32"/>
          <w:shd w:val="clear" w:fill="FFFFFF"/>
          <w:lang w:val="en-US" w:eastAsia="zh-CN"/>
        </w:rPr>
        <w:t>将政策性文件与解读文件相互关联，方便公众查询信息；利用新闻发布会、“平台开放日”、“致人大代表/政协委员的一封信”等活动，推动政务信息公开，</w:t>
      </w:r>
      <w:r>
        <w:rPr>
          <w:rFonts w:hint="eastAsia" w:ascii="仿宋_GB2312" w:hAnsi="仿宋_GB2312" w:eastAsia="仿宋_GB2312" w:cs="仿宋_GB2312"/>
          <w:i w:val="0"/>
          <w:iCs w:val="0"/>
          <w:caps w:val="0"/>
          <w:color w:val="auto"/>
          <w:spacing w:val="0"/>
          <w:sz w:val="32"/>
          <w:szCs w:val="32"/>
          <w:shd w:val="clear" w:fill="FFFFFF"/>
        </w:rPr>
        <w:t>增强中心公共服务能力和政务公开水平</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其他需要报告的事项</w:t>
      </w:r>
    </w:p>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Segoe UI" w:eastAsia="仿宋_GB2312" w:cs="仿宋_GB2312"/>
          <w:i w:val="0"/>
          <w:iCs w:val="0"/>
          <w:caps w:val="0"/>
          <w:color w:val="auto"/>
          <w:spacing w:val="0"/>
          <w:sz w:val="32"/>
          <w:szCs w:val="32"/>
          <w:shd w:val="clear" w:fill="FFFFFF"/>
        </w:rPr>
      </w:pPr>
      <w:r>
        <w:rPr>
          <w:rFonts w:hint="eastAsia" w:ascii="楷体_GB2312" w:hAnsi="Segoe UI" w:eastAsia="楷体_GB2312" w:cs="楷体_GB2312"/>
          <w:i w:val="0"/>
          <w:iCs w:val="0"/>
          <w:caps w:val="0"/>
          <w:color w:val="auto"/>
          <w:spacing w:val="0"/>
          <w:sz w:val="32"/>
          <w:szCs w:val="32"/>
          <w:shd w:val="clear" w:fill="FFFFFF"/>
          <w:lang w:val="en-US" w:eastAsia="zh-CN"/>
        </w:rPr>
        <w:t>依申请</w:t>
      </w:r>
      <w:r>
        <w:rPr>
          <w:rFonts w:hint="eastAsia" w:ascii="楷体_GB2312" w:hAnsi="Segoe UI" w:eastAsia="楷体_GB2312" w:cs="楷体_GB2312"/>
          <w:i w:val="0"/>
          <w:iCs w:val="0"/>
          <w:caps w:val="0"/>
          <w:color w:val="auto"/>
          <w:spacing w:val="0"/>
          <w:sz w:val="32"/>
          <w:szCs w:val="32"/>
          <w:shd w:val="clear" w:fill="FFFFFF"/>
        </w:rPr>
        <w:t>公开信息处理费</w:t>
      </w:r>
      <w:r>
        <w:rPr>
          <w:rFonts w:hint="eastAsia" w:ascii="楷体_GB2312" w:hAnsi="Segoe UI" w:eastAsia="楷体_GB2312" w:cs="楷体_GB2312"/>
          <w:i w:val="0"/>
          <w:iCs w:val="0"/>
          <w:caps w:val="0"/>
          <w:color w:val="auto"/>
          <w:spacing w:val="0"/>
          <w:sz w:val="32"/>
          <w:szCs w:val="32"/>
          <w:shd w:val="clear" w:fill="FFFFFF"/>
          <w:lang w:val="en-US" w:eastAsia="zh-CN"/>
        </w:rPr>
        <w:t>收费</w:t>
      </w:r>
      <w:r>
        <w:rPr>
          <w:rFonts w:hint="eastAsia" w:ascii="楷体_GB2312" w:hAnsi="Segoe UI" w:eastAsia="楷体_GB2312" w:cs="楷体_GB2312"/>
          <w:i w:val="0"/>
          <w:iCs w:val="0"/>
          <w:caps w:val="0"/>
          <w:color w:val="auto"/>
          <w:spacing w:val="0"/>
          <w:sz w:val="32"/>
          <w:szCs w:val="32"/>
          <w:shd w:val="clear" w:fill="FFFFFF"/>
        </w:rPr>
        <w:t>情况。</w:t>
      </w:r>
      <w:r>
        <w:rPr>
          <w:rFonts w:hint="eastAsia" w:ascii="仿宋_GB2312" w:hAnsi="Segoe UI" w:eastAsia="仿宋_GB2312" w:cs="仿宋_GB2312"/>
          <w:i w:val="0"/>
          <w:iCs w:val="0"/>
          <w:caps w:val="0"/>
          <w:color w:val="auto"/>
          <w:spacing w:val="0"/>
          <w:sz w:val="32"/>
          <w:szCs w:val="32"/>
          <w:shd w:val="clear" w:fill="FFFFFF"/>
        </w:rPr>
        <w:t>市公共资源交易平台属</w:t>
      </w:r>
      <w:r>
        <w:rPr>
          <w:rFonts w:hint="eastAsia" w:ascii="仿宋_GB2312" w:hAnsi="Segoe UI" w:eastAsia="仿宋_GB2312" w:cs="仿宋_GB2312"/>
          <w:i w:val="0"/>
          <w:iCs w:val="0"/>
          <w:caps w:val="0"/>
          <w:color w:val="auto"/>
          <w:spacing w:val="0"/>
          <w:sz w:val="32"/>
          <w:szCs w:val="32"/>
          <w:shd w:val="clear" w:fill="FFFFFF"/>
          <w:lang w:val="en-US" w:eastAsia="zh-CN"/>
        </w:rPr>
        <w:t>于</w:t>
      </w:r>
      <w:r>
        <w:rPr>
          <w:rFonts w:hint="eastAsia" w:ascii="仿宋_GB2312" w:hAnsi="Segoe UI" w:eastAsia="仿宋_GB2312" w:cs="仿宋_GB2312"/>
          <w:i w:val="0"/>
          <w:iCs w:val="0"/>
          <w:caps w:val="0"/>
          <w:color w:val="auto"/>
          <w:spacing w:val="0"/>
          <w:sz w:val="32"/>
          <w:szCs w:val="32"/>
          <w:shd w:val="clear" w:fill="FFFFFF"/>
        </w:rPr>
        <w:t>公益类服务平台，因此不存在政府信息公开需交易中心办理的信息公开收费及减免情况。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Segoe UI" w:hAnsi="Segoe UI" w:eastAsia="Segoe UI" w:cs="Segoe UI"/>
          <w:i w:val="0"/>
          <w:iCs w:val="0"/>
          <w:caps w:val="0"/>
          <w:color w:val="auto"/>
          <w:spacing w:val="0"/>
          <w:sz w:val="24"/>
          <w:szCs w:val="24"/>
        </w:rPr>
      </w:pPr>
      <w:r>
        <w:rPr>
          <w:rFonts w:hint="eastAsia" w:ascii="楷体_GB2312" w:hAnsi="Segoe UI" w:eastAsia="楷体_GB2312" w:cs="楷体_GB2312"/>
          <w:i w:val="0"/>
          <w:iCs w:val="0"/>
          <w:caps w:val="0"/>
          <w:color w:val="auto"/>
          <w:spacing w:val="0"/>
          <w:sz w:val="32"/>
          <w:szCs w:val="32"/>
          <w:shd w:val="clear" w:fill="FFFFFF"/>
        </w:rPr>
        <w:t>（二）人大代表建议和政协提案办理情况。</w:t>
      </w:r>
      <w:r>
        <w:rPr>
          <w:rFonts w:hint="eastAsia" w:ascii="仿宋_GB2312" w:hAnsi="Segoe UI" w:eastAsia="仿宋_GB2312" w:cs="仿宋_GB2312"/>
          <w:i w:val="0"/>
          <w:iCs w:val="0"/>
          <w:caps w:val="0"/>
          <w:color w:val="auto"/>
          <w:spacing w:val="0"/>
          <w:sz w:val="32"/>
          <w:szCs w:val="32"/>
          <w:shd w:val="clear" w:fill="FFFFFF"/>
        </w:rPr>
        <w:t>202</w:t>
      </w:r>
      <w:r>
        <w:rPr>
          <w:rFonts w:hint="eastAsia" w:ascii="仿宋_GB2312" w:hAnsi="Segoe UI" w:eastAsia="仿宋_GB2312" w:cs="仿宋_GB2312"/>
          <w:i w:val="0"/>
          <w:iCs w:val="0"/>
          <w:caps w:val="0"/>
          <w:color w:val="auto"/>
          <w:spacing w:val="0"/>
          <w:sz w:val="32"/>
          <w:szCs w:val="32"/>
          <w:shd w:val="clear" w:fill="FFFFFF"/>
          <w:lang w:val="en-US" w:eastAsia="zh-CN"/>
        </w:rPr>
        <w:t>2</w:t>
      </w:r>
      <w:r>
        <w:rPr>
          <w:rFonts w:hint="eastAsia" w:ascii="仿宋_GB2312" w:hAnsi="Segoe UI" w:eastAsia="仿宋_GB2312" w:cs="仿宋_GB2312"/>
          <w:i w:val="0"/>
          <w:iCs w:val="0"/>
          <w:caps w:val="0"/>
          <w:color w:val="auto"/>
          <w:spacing w:val="0"/>
          <w:sz w:val="32"/>
          <w:szCs w:val="32"/>
          <w:shd w:val="clear" w:fill="FFFFFF"/>
        </w:rPr>
        <w:t>年淄博市公共资源交易中心共接收办理政协</w:t>
      </w:r>
      <w:r>
        <w:rPr>
          <w:rFonts w:hint="eastAsia" w:ascii="仿宋_GB2312" w:hAnsi="Segoe UI" w:eastAsia="仿宋_GB2312" w:cs="仿宋_GB2312"/>
          <w:i w:val="0"/>
          <w:iCs w:val="0"/>
          <w:caps w:val="0"/>
          <w:color w:val="auto"/>
          <w:spacing w:val="0"/>
          <w:sz w:val="32"/>
          <w:szCs w:val="32"/>
          <w:shd w:val="clear" w:fill="FFFFFF"/>
          <w:lang w:val="en-US" w:eastAsia="zh-CN"/>
        </w:rPr>
        <w:t>委员</w:t>
      </w:r>
      <w:r>
        <w:rPr>
          <w:rFonts w:hint="eastAsia" w:ascii="仿宋_GB2312" w:hAnsi="Segoe UI" w:eastAsia="仿宋_GB2312" w:cs="仿宋_GB2312"/>
          <w:i w:val="0"/>
          <w:iCs w:val="0"/>
          <w:caps w:val="0"/>
          <w:color w:val="auto"/>
          <w:spacing w:val="0"/>
          <w:sz w:val="32"/>
          <w:szCs w:val="32"/>
          <w:shd w:val="clear" w:fill="FFFFFF"/>
        </w:rPr>
        <w:t>提案1件</w:t>
      </w:r>
      <w:r>
        <w:rPr>
          <w:rFonts w:hint="eastAsia" w:ascii="仿宋_GB2312" w:hAnsi="Segoe UI" w:eastAsia="仿宋_GB2312" w:cs="仿宋_GB2312"/>
          <w:i w:val="0"/>
          <w:iCs w:val="0"/>
          <w:caps w:val="0"/>
          <w:color w:val="auto"/>
          <w:spacing w:val="0"/>
          <w:sz w:val="32"/>
          <w:szCs w:val="32"/>
          <w:shd w:val="clear" w:fill="FFFFFF"/>
          <w:lang w:eastAsia="zh-CN"/>
        </w:rPr>
        <w:t>，</w:t>
      </w:r>
      <w:r>
        <w:rPr>
          <w:rFonts w:hint="eastAsia" w:ascii="仿宋_GB2312" w:hAnsi="Segoe UI" w:eastAsia="仿宋_GB2312" w:cs="仿宋_GB2312"/>
          <w:i w:val="0"/>
          <w:iCs w:val="0"/>
          <w:caps w:val="0"/>
          <w:color w:val="auto"/>
          <w:spacing w:val="0"/>
          <w:sz w:val="32"/>
          <w:szCs w:val="32"/>
          <w:shd w:val="clear" w:fill="FFFFFF"/>
          <w:lang w:val="en-US" w:eastAsia="zh-CN"/>
        </w:rPr>
        <w:t>为</w:t>
      </w:r>
      <w:r>
        <w:rPr>
          <w:rFonts w:hint="eastAsia" w:ascii="仿宋_GB2312" w:hAnsi="Segoe UI" w:eastAsia="仿宋_GB2312" w:cs="仿宋_GB2312"/>
          <w:i w:val="0"/>
          <w:iCs w:val="0"/>
          <w:caps w:val="0"/>
          <w:color w:val="auto"/>
          <w:spacing w:val="0"/>
          <w:sz w:val="32"/>
          <w:szCs w:val="32"/>
          <w:shd w:val="clear" w:fill="FFFFFF"/>
          <w:lang w:eastAsia="zh-CN"/>
        </w:rPr>
        <w:t>市政协十三届一次会议委员第1301194号提案。</w:t>
      </w:r>
      <w:r>
        <w:rPr>
          <w:rFonts w:hint="eastAsia" w:ascii="仿宋_GB2312" w:hAnsi="Segoe UI" w:eastAsia="仿宋_GB2312" w:cs="仿宋_GB2312"/>
          <w:i w:val="0"/>
          <w:iCs w:val="0"/>
          <w:caps w:val="0"/>
          <w:color w:val="auto"/>
          <w:spacing w:val="0"/>
          <w:sz w:val="32"/>
          <w:szCs w:val="32"/>
          <w:shd w:val="clear" w:fill="FFFFFF"/>
          <w:lang w:val="en-US" w:eastAsia="zh-CN"/>
        </w:rPr>
        <w:t>中心</w:t>
      </w:r>
      <w:r>
        <w:rPr>
          <w:rFonts w:hint="eastAsia" w:ascii="仿宋_GB2312" w:hAnsi="Segoe UI" w:eastAsia="仿宋_GB2312" w:cs="仿宋_GB2312"/>
          <w:i w:val="0"/>
          <w:iCs w:val="0"/>
          <w:caps w:val="0"/>
          <w:color w:val="auto"/>
          <w:spacing w:val="0"/>
          <w:sz w:val="32"/>
          <w:szCs w:val="32"/>
          <w:shd w:val="clear" w:fill="FFFFFF"/>
        </w:rPr>
        <w:t>从提案接收、领导批阅、提案办理、答复报送等各个环节，都按照规范程序办复，按时办结率为100%。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Segoe UI" w:eastAsia="楷体_GB2312" w:cs="楷体_GB2312"/>
          <w:i w:val="0"/>
          <w:iCs w:val="0"/>
          <w:caps w:val="0"/>
          <w:color w:val="auto"/>
          <w:spacing w:val="0"/>
          <w:sz w:val="32"/>
          <w:szCs w:val="32"/>
          <w:shd w:val="clear" w:fill="FFFFFF"/>
        </w:rPr>
        <w:t>（</w:t>
      </w:r>
      <w:r>
        <w:rPr>
          <w:rFonts w:hint="eastAsia" w:ascii="楷体_GB2312" w:hAnsi="Segoe UI" w:eastAsia="楷体_GB2312" w:cs="楷体_GB2312"/>
          <w:i w:val="0"/>
          <w:iCs w:val="0"/>
          <w:caps w:val="0"/>
          <w:color w:val="auto"/>
          <w:spacing w:val="0"/>
          <w:sz w:val="32"/>
          <w:szCs w:val="32"/>
          <w:shd w:val="clear" w:fill="FFFFFF"/>
          <w:lang w:val="en-US" w:eastAsia="zh-CN"/>
        </w:rPr>
        <w:t>三</w:t>
      </w:r>
      <w:r>
        <w:rPr>
          <w:rFonts w:hint="eastAsia" w:ascii="楷体_GB2312" w:hAnsi="Segoe UI" w:eastAsia="楷体_GB2312" w:cs="楷体_GB2312"/>
          <w:i w:val="0"/>
          <w:iCs w:val="0"/>
          <w:caps w:val="0"/>
          <w:color w:val="auto"/>
          <w:spacing w:val="0"/>
          <w:sz w:val="32"/>
          <w:szCs w:val="32"/>
          <w:shd w:val="clear" w:fill="FFFFFF"/>
        </w:rPr>
        <w:t>）政务公开工作创新情况。</w:t>
      </w:r>
      <w:r>
        <w:rPr>
          <w:rFonts w:hint="eastAsia" w:ascii="楷体_GB2312" w:hAnsi="Segoe UI" w:eastAsia="楷体_GB2312" w:cs="楷体_GB2312"/>
          <w:b/>
          <w:bCs/>
          <w:i w:val="0"/>
          <w:iCs w:val="0"/>
          <w:caps w:val="0"/>
          <w:color w:val="auto"/>
          <w:spacing w:val="0"/>
          <w:sz w:val="32"/>
          <w:szCs w:val="32"/>
          <w:shd w:val="clear" w:fill="FFFFFF"/>
          <w:lang w:val="en-US" w:eastAsia="zh-CN"/>
        </w:rPr>
        <w:t>一</w:t>
      </w:r>
      <w:r>
        <w:rPr>
          <w:rFonts w:hint="eastAsia" w:ascii="楷体_GB2312" w:hAnsi="Segoe UI" w:eastAsia="楷体_GB2312" w:cs="楷体_GB2312"/>
          <w:b/>
          <w:bCs/>
          <w:i w:val="0"/>
          <w:iCs w:val="0"/>
          <w:caps w:val="0"/>
          <w:color w:val="auto"/>
          <w:spacing w:val="0"/>
          <w:sz w:val="32"/>
          <w:szCs w:val="32"/>
          <w:shd w:val="clear" w:fill="FFFFFF"/>
        </w:rPr>
        <w:t>是</w:t>
      </w:r>
      <w:r>
        <w:rPr>
          <w:rFonts w:hint="eastAsia" w:ascii="楷体_GB2312" w:hAnsi="Segoe UI" w:eastAsia="楷体_GB2312" w:cs="楷体_GB2312"/>
          <w:b/>
          <w:bCs/>
          <w:i w:val="0"/>
          <w:iCs w:val="0"/>
          <w:caps w:val="0"/>
          <w:color w:val="auto"/>
          <w:spacing w:val="0"/>
          <w:sz w:val="32"/>
          <w:szCs w:val="32"/>
          <w:highlight w:val="none"/>
          <w:shd w:val="clear" w:fill="FFFFFF"/>
          <w:lang w:val="en-US" w:eastAsia="zh-CN"/>
        </w:rPr>
        <w:t>政务服务数字化促进</w:t>
      </w:r>
      <w:r>
        <w:rPr>
          <w:rFonts w:hint="eastAsia" w:ascii="楷体_GB2312" w:hAnsi="Segoe UI" w:eastAsia="楷体_GB2312" w:cs="楷体_GB2312"/>
          <w:b/>
          <w:bCs/>
          <w:i w:val="0"/>
          <w:iCs w:val="0"/>
          <w:caps w:val="0"/>
          <w:color w:val="auto"/>
          <w:spacing w:val="0"/>
          <w:sz w:val="32"/>
          <w:szCs w:val="32"/>
          <w:shd w:val="clear" w:fill="FFFFFF"/>
          <w:lang w:val="en-US" w:eastAsia="zh-CN"/>
        </w:rPr>
        <w:t>营商环境优化</w:t>
      </w:r>
      <w:r>
        <w:rPr>
          <w:rFonts w:hint="eastAsia" w:ascii="楷体_GB2312" w:hAnsi="Segoe UI" w:eastAsia="楷体_GB2312" w:cs="楷体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积极争取设立招标计划提前发布、合同签订变更网上办理等省级试点，方便意向投标企业充分了解招标项目信息、办事少跑腿；实行投标竞买“一网通办”为企业节省标书制作打印、现场投标（竞买）、交通食宿费用3000余万元。</w:t>
      </w:r>
      <w:r>
        <w:rPr>
          <w:rFonts w:hint="eastAsia" w:ascii="楷体_GB2312" w:hAnsi="楷体_GB2312" w:eastAsia="楷体_GB2312" w:cs="楷体_GB2312"/>
          <w:b/>
          <w:bCs/>
          <w:i w:val="0"/>
          <w:iCs w:val="0"/>
          <w:caps w:val="0"/>
          <w:color w:val="auto"/>
          <w:spacing w:val="0"/>
          <w:sz w:val="32"/>
          <w:szCs w:val="32"/>
          <w:shd w:val="clear" w:fill="FFFFFF"/>
          <w:lang w:val="en-US" w:eastAsia="zh-CN"/>
        </w:rPr>
        <w:t>二是互动渠道多样化推动政民信息互通。</w:t>
      </w:r>
      <w:r>
        <w:rPr>
          <w:rFonts w:hint="eastAsia" w:ascii="仿宋_GB2312" w:hAnsi="仿宋_GB2312" w:eastAsia="仿宋_GB2312" w:cs="仿宋_GB2312"/>
          <w:i w:val="0"/>
          <w:iCs w:val="0"/>
          <w:caps w:val="0"/>
          <w:color w:val="auto"/>
          <w:spacing w:val="0"/>
          <w:sz w:val="32"/>
          <w:szCs w:val="32"/>
          <w:shd w:val="clear" w:fill="FFFFFF"/>
          <w:lang w:val="en-US" w:eastAsia="zh-CN"/>
        </w:rPr>
        <w:t>建立健全重大项目服务机制，邀请部门单位召开重大项目服务座谈会，广泛征集意见建议。开展“平台开放日”活动近2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0次</w:t>
      </w:r>
      <w:r>
        <w:rPr>
          <w:rFonts w:hint="eastAsia" w:ascii="仿宋_GB2312" w:hAnsi="仿宋_GB2312" w:eastAsia="仿宋_GB2312" w:cs="仿宋_GB2312"/>
          <w:i w:val="0"/>
          <w:iCs w:val="0"/>
          <w:caps w:val="0"/>
          <w:color w:val="auto"/>
          <w:spacing w:val="0"/>
          <w:sz w:val="32"/>
          <w:szCs w:val="32"/>
          <w:shd w:val="clear" w:fill="FFFFFF"/>
          <w:lang w:val="en-US" w:eastAsia="zh-CN"/>
        </w:rPr>
        <w:t>，邀请市人大代表、政协委员、媒体代表等现场观摩、建言献策，进一步畅通了社会监督渠道。召开“人工智能＋数据共享”新闻发布会，介绍智慧交易平台建设情况，回应媒体和公众关切，提升公共资源交易正能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Segoe UI" w:eastAsia="仿宋_GB2312" w:cs="仿宋_GB2312"/>
          <w:i w:val="0"/>
          <w:iCs w:val="0"/>
          <w:caps w:val="0"/>
          <w:color w:val="auto"/>
          <w:spacing w:val="0"/>
          <w:sz w:val="32"/>
          <w:szCs w:val="32"/>
          <w:shd w:val="clear" w:fill="FFFFFF"/>
        </w:rPr>
      </w:pPr>
      <w:r>
        <w:rPr>
          <w:rFonts w:hint="eastAsia" w:ascii="楷体_GB2312" w:hAnsi="Segoe UI" w:eastAsia="楷体_GB2312" w:cs="楷体_GB2312"/>
          <w:i w:val="0"/>
          <w:iCs w:val="0"/>
          <w:caps w:val="0"/>
          <w:color w:val="auto"/>
          <w:spacing w:val="0"/>
          <w:sz w:val="32"/>
          <w:szCs w:val="32"/>
          <w:shd w:val="clear" w:fill="FFFFFF"/>
          <w:lang w:val="en-US" w:eastAsia="zh-CN"/>
        </w:rPr>
        <w:t>（四）</w:t>
      </w:r>
      <w:r>
        <w:rPr>
          <w:rFonts w:hint="eastAsia" w:ascii="楷体_GB2312" w:hAnsi="Segoe UI" w:eastAsia="楷体_GB2312" w:cs="楷体_GB2312"/>
          <w:i w:val="0"/>
          <w:iCs w:val="0"/>
          <w:caps w:val="0"/>
          <w:color w:val="auto"/>
          <w:spacing w:val="0"/>
          <w:sz w:val="32"/>
          <w:szCs w:val="32"/>
          <w:shd w:val="clear" w:fill="FFFFFF"/>
        </w:rPr>
        <w:t>《2022年淄博市政务公开工作方案》落实情况。</w:t>
      </w:r>
      <w:r>
        <w:rPr>
          <w:rFonts w:hint="eastAsia" w:ascii="仿宋_GB2312" w:hAnsi="Segoe UI" w:eastAsia="仿宋_GB2312" w:cs="仿宋_GB2312"/>
          <w:i w:val="0"/>
          <w:iCs w:val="0"/>
          <w:caps w:val="0"/>
          <w:color w:val="auto"/>
          <w:spacing w:val="0"/>
          <w:sz w:val="32"/>
          <w:szCs w:val="32"/>
          <w:shd w:val="clear" w:fill="FFFFFF"/>
        </w:rPr>
        <w:t>根据市政府办公室《关于印发202</w:t>
      </w:r>
      <w:r>
        <w:rPr>
          <w:rFonts w:hint="eastAsia" w:ascii="仿宋_GB2312" w:hAnsi="Segoe UI" w:eastAsia="仿宋_GB2312" w:cs="仿宋_GB2312"/>
          <w:i w:val="0"/>
          <w:iCs w:val="0"/>
          <w:caps w:val="0"/>
          <w:color w:val="auto"/>
          <w:spacing w:val="0"/>
          <w:sz w:val="32"/>
          <w:szCs w:val="32"/>
          <w:shd w:val="clear" w:fill="FFFFFF"/>
          <w:lang w:val="en-US" w:eastAsia="zh-CN"/>
        </w:rPr>
        <w:t>2</w:t>
      </w:r>
      <w:r>
        <w:rPr>
          <w:rFonts w:hint="eastAsia" w:ascii="仿宋_GB2312" w:hAnsi="Segoe UI" w:eastAsia="仿宋_GB2312" w:cs="仿宋_GB2312"/>
          <w:i w:val="0"/>
          <w:iCs w:val="0"/>
          <w:caps w:val="0"/>
          <w:color w:val="auto"/>
          <w:spacing w:val="0"/>
          <w:sz w:val="32"/>
          <w:szCs w:val="32"/>
          <w:shd w:val="clear" w:fill="FFFFFF"/>
        </w:rPr>
        <w:t>年淄博市政务公开工作要点的通知》文件，及时调整</w:t>
      </w:r>
      <w:r>
        <w:rPr>
          <w:rFonts w:hint="eastAsia" w:ascii="仿宋_GB2312" w:hAnsi="Segoe UI" w:eastAsia="仿宋_GB2312" w:cs="仿宋_GB2312"/>
          <w:i w:val="0"/>
          <w:iCs w:val="0"/>
          <w:caps w:val="0"/>
          <w:color w:val="auto"/>
          <w:spacing w:val="0"/>
          <w:sz w:val="32"/>
          <w:szCs w:val="32"/>
          <w:shd w:val="clear" w:fill="FFFFFF"/>
          <w:lang w:val="en-US" w:eastAsia="zh-CN"/>
        </w:rPr>
        <w:t>政务</w:t>
      </w:r>
      <w:r>
        <w:rPr>
          <w:rFonts w:hint="eastAsia" w:ascii="仿宋_GB2312" w:hAnsi="Segoe UI" w:eastAsia="仿宋_GB2312" w:cs="仿宋_GB2312"/>
          <w:i w:val="0"/>
          <w:iCs w:val="0"/>
          <w:caps w:val="0"/>
          <w:color w:val="auto"/>
          <w:spacing w:val="0"/>
          <w:sz w:val="32"/>
          <w:szCs w:val="32"/>
          <w:shd w:val="clear" w:fill="FFFFFF"/>
        </w:rPr>
        <w:t>信息公开目录</w:t>
      </w:r>
      <w:r>
        <w:rPr>
          <w:rFonts w:hint="eastAsia" w:ascii="仿宋_GB2312" w:hAnsi="Segoe UI" w:eastAsia="仿宋_GB2312" w:cs="仿宋_GB2312"/>
          <w:i w:val="0"/>
          <w:iCs w:val="0"/>
          <w:caps w:val="0"/>
          <w:color w:val="auto"/>
          <w:spacing w:val="0"/>
          <w:sz w:val="32"/>
          <w:szCs w:val="32"/>
          <w:shd w:val="clear" w:fill="FFFFFF"/>
          <w:lang w:eastAsia="zh-CN"/>
        </w:rPr>
        <w:t>；</w:t>
      </w:r>
      <w:r>
        <w:rPr>
          <w:rFonts w:hint="eastAsia" w:ascii="仿宋_GB2312" w:hAnsi="Segoe UI" w:eastAsia="仿宋_GB2312" w:cs="仿宋_GB2312"/>
          <w:i w:val="0"/>
          <w:iCs w:val="0"/>
          <w:caps w:val="0"/>
          <w:color w:val="auto"/>
          <w:spacing w:val="0"/>
          <w:sz w:val="32"/>
          <w:szCs w:val="32"/>
          <w:shd w:val="clear" w:fill="FFFFFF"/>
          <w:lang w:val="en-US" w:eastAsia="zh-CN"/>
        </w:rPr>
        <w:t>研究印发《</w:t>
      </w:r>
      <w:r>
        <w:rPr>
          <w:rFonts w:hint="eastAsia" w:ascii="仿宋_GB2312" w:hAnsi="Segoe UI" w:eastAsia="仿宋_GB2312" w:cs="仿宋_GB2312"/>
          <w:i w:val="0"/>
          <w:iCs w:val="0"/>
          <w:caps w:val="0"/>
          <w:color w:val="auto"/>
          <w:spacing w:val="0"/>
          <w:sz w:val="32"/>
          <w:szCs w:val="32"/>
          <w:shd w:val="clear" w:fill="FFFFFF"/>
        </w:rPr>
        <w:t>淄博市公共资源交易中心2022年政务公开培训计划</w:t>
      </w:r>
      <w:r>
        <w:rPr>
          <w:rFonts w:hint="eastAsia" w:ascii="仿宋_GB2312" w:hAnsi="Segoe UI" w:eastAsia="仿宋_GB2312" w:cs="仿宋_GB2312"/>
          <w:i w:val="0"/>
          <w:iCs w:val="0"/>
          <w:caps w:val="0"/>
          <w:color w:val="auto"/>
          <w:spacing w:val="0"/>
          <w:sz w:val="32"/>
          <w:szCs w:val="32"/>
          <w:shd w:val="clear" w:fill="FFFFFF"/>
          <w:lang w:eastAsia="zh-CN"/>
        </w:rPr>
        <w:t>》，</w:t>
      </w:r>
      <w:r>
        <w:rPr>
          <w:rFonts w:hint="eastAsia" w:ascii="仿宋_GB2312" w:hAnsi="Segoe UI" w:eastAsia="仿宋_GB2312" w:cs="仿宋_GB2312"/>
          <w:i w:val="0"/>
          <w:iCs w:val="0"/>
          <w:caps w:val="0"/>
          <w:color w:val="auto"/>
          <w:spacing w:val="0"/>
          <w:sz w:val="32"/>
          <w:szCs w:val="32"/>
          <w:shd w:val="clear" w:fill="FFFFFF"/>
          <w:lang w:val="en-US" w:eastAsia="zh-CN"/>
        </w:rPr>
        <w:t>从会议公开、建议提案办理、政策解读、政民互动、舆情回应、依申请公开等方面进行学习研讨；制定《淄博市公共资源交易中心政务公开工作任务台账》，明确责任单位、工作要求及时限要求，进一步规范政务公开流程</w:t>
      </w:r>
      <w:r>
        <w:rPr>
          <w:rFonts w:hint="eastAsia" w:ascii="仿宋_GB2312" w:hAnsi="Segoe UI"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0" w:firstLineChars="1500"/>
        <w:jc w:val="right"/>
        <w:textAlignment w:val="auto"/>
        <w:rPr>
          <w:rFonts w:hint="eastAsia" w:ascii="仿宋_GB2312" w:hAnsi="Segoe UI" w:eastAsia="仿宋_GB2312" w:cs="仿宋_GB2312"/>
          <w:i w:val="0"/>
          <w:iCs w:val="0"/>
          <w:caps w:val="0"/>
          <w:color w:val="auto"/>
          <w:spacing w:val="0"/>
          <w:sz w:val="32"/>
          <w:szCs w:val="32"/>
          <w:shd w:val="clear" w:fill="FFFFFF"/>
          <w:lang w:val="en-US" w:eastAsia="zh-CN"/>
        </w:rPr>
      </w:pPr>
      <w:r>
        <w:rPr>
          <w:rFonts w:hint="eastAsia" w:ascii="仿宋_GB2312" w:hAnsi="Segoe UI" w:eastAsia="仿宋_GB2312" w:cs="仿宋_GB2312"/>
          <w:i w:val="0"/>
          <w:iCs w:val="0"/>
          <w:caps w:val="0"/>
          <w:color w:val="auto"/>
          <w:spacing w:val="0"/>
          <w:sz w:val="32"/>
          <w:szCs w:val="32"/>
          <w:shd w:val="clear" w:fill="FFFFFF"/>
          <w:lang w:val="en-US" w:eastAsia="zh-CN"/>
        </w:rPr>
        <w:t>淄博市公共资源交易中心</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5440" w:firstLineChars="1700"/>
        <w:jc w:val="right"/>
        <w:textAlignment w:val="auto"/>
        <w:rPr>
          <w:rFonts w:hint="default" w:ascii="仿宋_GB2312" w:hAnsi="Segoe UI" w:eastAsia="仿宋_GB2312" w:cs="仿宋_GB2312"/>
          <w:i w:val="0"/>
          <w:iCs w:val="0"/>
          <w:caps w:val="0"/>
          <w:color w:val="auto"/>
          <w:spacing w:val="0"/>
          <w:sz w:val="32"/>
          <w:szCs w:val="32"/>
          <w:shd w:val="clear" w:fill="FFFFFF"/>
          <w:lang w:val="en-US" w:eastAsia="zh-CN"/>
        </w:rPr>
      </w:pPr>
      <w:r>
        <w:rPr>
          <w:rFonts w:hint="eastAsia" w:ascii="仿宋_GB2312" w:hAnsi="Segoe UI" w:eastAsia="仿宋_GB2312" w:cs="仿宋_GB2312"/>
          <w:i w:val="0"/>
          <w:iCs w:val="0"/>
          <w:caps w:val="0"/>
          <w:color w:val="auto"/>
          <w:spacing w:val="0"/>
          <w:sz w:val="32"/>
          <w:szCs w:val="32"/>
          <w:shd w:val="clear" w:fill="FFFFFF"/>
          <w:lang w:val="en-US" w:eastAsia="zh-CN"/>
        </w:rPr>
        <w:t>2023年1月28</w:t>
      </w:r>
      <w:bookmarkStart w:id="0" w:name="_GoBack"/>
      <w:bookmarkEnd w:id="0"/>
      <w:r>
        <w:rPr>
          <w:rFonts w:hint="eastAsia" w:ascii="仿宋_GB2312" w:hAnsi="Segoe UI" w:eastAsia="仿宋_GB2312" w:cs="仿宋_GB2312"/>
          <w:i w:val="0"/>
          <w:iCs w:val="0"/>
          <w:caps w:val="0"/>
          <w:color w:val="auto"/>
          <w:spacing w:val="0"/>
          <w:sz w:val="32"/>
          <w:szCs w:val="32"/>
          <w:shd w:val="clear" w:fill="FFFFFF"/>
          <w:lang w:val="en-US" w:eastAsia="zh-CN"/>
        </w:rPr>
        <w:t xml:space="preserve">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大标宋_GBK">
    <w:altName w:val="宋体"/>
    <w:panose1 w:val="02000000000000000000"/>
    <w:charset w:val="86"/>
    <w:family w:val="auto"/>
    <w:pitch w:val="default"/>
    <w:sig w:usb0="00000000" w:usb1="00000000" w:usb2="00000000"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Style w:val="9"/>
                              <w:rFonts w:hint="eastAsia" w:ascii="宋体" w:hAnsi="宋体" w:eastAsia="宋体"/>
                              <w:sz w:val="28"/>
                            </w:rPr>
                            <w:t>—</w:t>
                          </w:r>
                          <w:r>
                            <w:rPr>
                              <w:rStyle w:val="9"/>
                              <w:rFonts w:hint="eastAsia" w:ascii="宋体" w:hAnsi="宋体" w:eastAsia="宋体"/>
                              <w:sz w:val="28"/>
                              <w:lang w:val="en-US" w:eastAsia="zh-CN"/>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hint="eastAsia" w:ascii="宋体" w:hAnsi="宋体" w:eastAsia="宋体"/>
                              <w:sz w:val="28"/>
                            </w:rPr>
                            <w:t>2</w:t>
                          </w:r>
                          <w:r>
                            <w:rPr>
                              <w:rFonts w:hint="eastAsia" w:ascii="宋体" w:hAnsi="宋体" w:eastAsia="宋体"/>
                              <w:sz w:val="28"/>
                            </w:rPr>
                            <w:fldChar w:fldCharType="end"/>
                          </w:r>
                          <w:r>
                            <w:rPr>
                              <w:rFonts w:hint="eastAsia" w:ascii="宋体" w:hAnsi="宋体" w:eastAsia="宋体"/>
                              <w:sz w:val="28"/>
                              <w:lang w:val="en-US" w:eastAsia="zh-CN"/>
                            </w:rPr>
                            <w:t xml:space="preserve"> </w:t>
                          </w:r>
                          <w:r>
                            <w:rPr>
                              <w:rStyle w:val="9"/>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Style w:val="9"/>
                        <w:rFonts w:hint="eastAsia" w:ascii="宋体" w:hAnsi="宋体" w:eastAsia="宋体"/>
                        <w:sz w:val="28"/>
                      </w:rPr>
                      <w:t>—</w:t>
                    </w:r>
                    <w:r>
                      <w:rPr>
                        <w:rStyle w:val="9"/>
                        <w:rFonts w:hint="eastAsia" w:ascii="宋体" w:hAnsi="宋体" w:eastAsia="宋体"/>
                        <w:sz w:val="28"/>
                        <w:lang w:val="en-US" w:eastAsia="zh-CN"/>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hint="eastAsia" w:ascii="宋体" w:hAnsi="宋体" w:eastAsia="宋体"/>
                        <w:sz w:val="28"/>
                      </w:rPr>
                      <w:t>2</w:t>
                    </w:r>
                    <w:r>
                      <w:rPr>
                        <w:rFonts w:hint="eastAsia" w:ascii="宋体" w:hAnsi="宋体" w:eastAsia="宋体"/>
                        <w:sz w:val="28"/>
                      </w:rPr>
                      <w:fldChar w:fldCharType="end"/>
                    </w:r>
                    <w:r>
                      <w:rPr>
                        <w:rFonts w:hint="eastAsia" w:ascii="宋体" w:hAnsi="宋体" w:eastAsia="宋体"/>
                        <w:sz w:val="28"/>
                        <w:lang w:val="en-US" w:eastAsia="zh-CN"/>
                      </w:rPr>
                      <w:t xml:space="preserve"> </w:t>
                    </w:r>
                    <w:r>
                      <w:rPr>
                        <w:rStyle w:val="9"/>
                        <w:rFonts w:hint="eastAsia"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D7E21"/>
    <w:multiLevelType w:val="singleLevel"/>
    <w:tmpl w:val="A00D7E21"/>
    <w:lvl w:ilvl="0" w:tentative="0">
      <w:start w:val="1"/>
      <w:numFmt w:val="chineseCounting"/>
      <w:suff w:val="nothing"/>
      <w:lvlText w:val="（%1）"/>
      <w:lvlJc w:val="left"/>
      <w:rPr>
        <w:rFonts w:hint="eastAsia"/>
      </w:rPr>
    </w:lvl>
  </w:abstractNum>
  <w:abstractNum w:abstractNumId="1">
    <w:nsid w:val="AFEA7B0E"/>
    <w:multiLevelType w:val="singleLevel"/>
    <w:tmpl w:val="AFEA7B0E"/>
    <w:lvl w:ilvl="0" w:tentative="0">
      <w:start w:val="1"/>
      <w:numFmt w:val="chineseCounting"/>
      <w:suff w:val="nothing"/>
      <w:lvlText w:val="%1、"/>
      <w:lvlJc w:val="left"/>
      <w:rPr>
        <w:rFonts w:hint="eastAsia"/>
      </w:rPr>
    </w:lvl>
  </w:abstractNum>
  <w:abstractNum w:abstractNumId="2">
    <w:nsid w:val="FAA1033D"/>
    <w:multiLevelType w:val="singleLevel"/>
    <w:tmpl w:val="FAA1033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DE1MTJhM2NmZmI2MTg5Y2ZlY2Q2NjBjN2MzMmYifQ=="/>
  </w:docVars>
  <w:rsids>
    <w:rsidRoot w:val="575D3B60"/>
    <w:rsid w:val="00C555CB"/>
    <w:rsid w:val="0283164A"/>
    <w:rsid w:val="03BD5772"/>
    <w:rsid w:val="040A439F"/>
    <w:rsid w:val="06340B26"/>
    <w:rsid w:val="07155E78"/>
    <w:rsid w:val="07ED0A5C"/>
    <w:rsid w:val="0A673C53"/>
    <w:rsid w:val="0AB15B7F"/>
    <w:rsid w:val="0ACF749F"/>
    <w:rsid w:val="0B361D07"/>
    <w:rsid w:val="0B581923"/>
    <w:rsid w:val="0E245572"/>
    <w:rsid w:val="0FC76880"/>
    <w:rsid w:val="0FD22F01"/>
    <w:rsid w:val="117F5F02"/>
    <w:rsid w:val="11A04F42"/>
    <w:rsid w:val="11A149F5"/>
    <w:rsid w:val="11F012C8"/>
    <w:rsid w:val="12AD7501"/>
    <w:rsid w:val="131007F7"/>
    <w:rsid w:val="14217B02"/>
    <w:rsid w:val="146D2C81"/>
    <w:rsid w:val="15D80EA4"/>
    <w:rsid w:val="16003A26"/>
    <w:rsid w:val="165B4EA6"/>
    <w:rsid w:val="16DE6E0B"/>
    <w:rsid w:val="175E1DCB"/>
    <w:rsid w:val="18406174"/>
    <w:rsid w:val="18621DE4"/>
    <w:rsid w:val="1DE759EE"/>
    <w:rsid w:val="1E2E3EF1"/>
    <w:rsid w:val="1E993F75"/>
    <w:rsid w:val="1EC27FFB"/>
    <w:rsid w:val="1ECC2BD9"/>
    <w:rsid w:val="211A5B76"/>
    <w:rsid w:val="2155787E"/>
    <w:rsid w:val="24CA4117"/>
    <w:rsid w:val="26EF6108"/>
    <w:rsid w:val="27546D78"/>
    <w:rsid w:val="27CD011F"/>
    <w:rsid w:val="28401C27"/>
    <w:rsid w:val="2A307D13"/>
    <w:rsid w:val="2A463052"/>
    <w:rsid w:val="2A580712"/>
    <w:rsid w:val="2BE82DCF"/>
    <w:rsid w:val="2C8A0F75"/>
    <w:rsid w:val="2E523F32"/>
    <w:rsid w:val="2F3960B7"/>
    <w:rsid w:val="2F5707CF"/>
    <w:rsid w:val="2F5D16A1"/>
    <w:rsid w:val="2FE27E52"/>
    <w:rsid w:val="2FF92BD6"/>
    <w:rsid w:val="306275EE"/>
    <w:rsid w:val="30840BD8"/>
    <w:rsid w:val="310779B2"/>
    <w:rsid w:val="31F05AFB"/>
    <w:rsid w:val="322112BA"/>
    <w:rsid w:val="34565015"/>
    <w:rsid w:val="3498390E"/>
    <w:rsid w:val="35234ED1"/>
    <w:rsid w:val="35534264"/>
    <w:rsid w:val="35E5739A"/>
    <w:rsid w:val="36064D3E"/>
    <w:rsid w:val="38C3469B"/>
    <w:rsid w:val="397A2946"/>
    <w:rsid w:val="3AC33D0E"/>
    <w:rsid w:val="3CFA705C"/>
    <w:rsid w:val="3D0F2205"/>
    <w:rsid w:val="3D4C25F1"/>
    <w:rsid w:val="3EA00DD4"/>
    <w:rsid w:val="3EDE04A0"/>
    <w:rsid w:val="3F5D578C"/>
    <w:rsid w:val="3F696C71"/>
    <w:rsid w:val="3FD16F41"/>
    <w:rsid w:val="3FD934D9"/>
    <w:rsid w:val="400A73D4"/>
    <w:rsid w:val="40302BBE"/>
    <w:rsid w:val="407C770F"/>
    <w:rsid w:val="40A04ABE"/>
    <w:rsid w:val="42382BB3"/>
    <w:rsid w:val="433724B6"/>
    <w:rsid w:val="43537411"/>
    <w:rsid w:val="438E350C"/>
    <w:rsid w:val="44657C35"/>
    <w:rsid w:val="451F1723"/>
    <w:rsid w:val="4541586E"/>
    <w:rsid w:val="4544511C"/>
    <w:rsid w:val="457B4080"/>
    <w:rsid w:val="465B00AE"/>
    <w:rsid w:val="46AA43F2"/>
    <w:rsid w:val="47C31B20"/>
    <w:rsid w:val="482D69F6"/>
    <w:rsid w:val="4894025A"/>
    <w:rsid w:val="496A70ED"/>
    <w:rsid w:val="4A485DEB"/>
    <w:rsid w:val="4A502A52"/>
    <w:rsid w:val="4B6413F4"/>
    <w:rsid w:val="4B8336D5"/>
    <w:rsid w:val="4D811DB6"/>
    <w:rsid w:val="4E0C507F"/>
    <w:rsid w:val="4E550BC3"/>
    <w:rsid w:val="4F8C7559"/>
    <w:rsid w:val="4FDD0838"/>
    <w:rsid w:val="50097FEC"/>
    <w:rsid w:val="515510D8"/>
    <w:rsid w:val="51B65897"/>
    <w:rsid w:val="521C7CA2"/>
    <w:rsid w:val="524E6B41"/>
    <w:rsid w:val="52CB19B8"/>
    <w:rsid w:val="53055D47"/>
    <w:rsid w:val="53A46AC8"/>
    <w:rsid w:val="53D51FC9"/>
    <w:rsid w:val="5462049E"/>
    <w:rsid w:val="546A3CAE"/>
    <w:rsid w:val="54B856AB"/>
    <w:rsid w:val="55BB296F"/>
    <w:rsid w:val="56AF05EE"/>
    <w:rsid w:val="575D3B60"/>
    <w:rsid w:val="580E48B5"/>
    <w:rsid w:val="583651C4"/>
    <w:rsid w:val="5A91604C"/>
    <w:rsid w:val="5B3536A4"/>
    <w:rsid w:val="5D0D47EC"/>
    <w:rsid w:val="5D31225D"/>
    <w:rsid w:val="5D63756D"/>
    <w:rsid w:val="5D657148"/>
    <w:rsid w:val="5E12261D"/>
    <w:rsid w:val="5EC367FB"/>
    <w:rsid w:val="619218D7"/>
    <w:rsid w:val="62004C72"/>
    <w:rsid w:val="65CF28C3"/>
    <w:rsid w:val="65FA0A94"/>
    <w:rsid w:val="66607E01"/>
    <w:rsid w:val="66D411B4"/>
    <w:rsid w:val="675F6240"/>
    <w:rsid w:val="6AD05BA4"/>
    <w:rsid w:val="6C4C203A"/>
    <w:rsid w:val="6C977140"/>
    <w:rsid w:val="6DB124D4"/>
    <w:rsid w:val="6E16153B"/>
    <w:rsid w:val="6E7E1C21"/>
    <w:rsid w:val="6FEA175C"/>
    <w:rsid w:val="70AE6D6B"/>
    <w:rsid w:val="70E60282"/>
    <w:rsid w:val="721F505C"/>
    <w:rsid w:val="730D3F7D"/>
    <w:rsid w:val="738A22C6"/>
    <w:rsid w:val="746418F9"/>
    <w:rsid w:val="75725B16"/>
    <w:rsid w:val="757D4451"/>
    <w:rsid w:val="75CD674E"/>
    <w:rsid w:val="78170512"/>
    <w:rsid w:val="786102F9"/>
    <w:rsid w:val="78DC699B"/>
    <w:rsid w:val="79DB2C1A"/>
    <w:rsid w:val="7CC62B84"/>
    <w:rsid w:val="7D7342FB"/>
    <w:rsid w:val="7E7E5D4D"/>
    <w:rsid w:val="7EB61981"/>
    <w:rsid w:val="7EC36DE8"/>
    <w:rsid w:val="7F66776E"/>
    <w:rsid w:val="7FA31A6D"/>
    <w:rsid w:val="BD4F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cs="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000000"/>
      <w:u w:val="none"/>
    </w:rPr>
  </w:style>
  <w:style w:type="character" w:styleId="11">
    <w:name w:val="Hyperlink"/>
    <w:basedOn w:val="7"/>
    <w:qFormat/>
    <w:uiPriority w:val="0"/>
    <w:rPr>
      <w:color w:val="000000"/>
      <w:u w:val="none"/>
    </w:rPr>
  </w:style>
  <w:style w:type="character" w:styleId="12">
    <w:name w:val="HTML Code"/>
    <w:basedOn w:val="7"/>
    <w:qFormat/>
    <w:uiPriority w:val="0"/>
    <w:rPr>
      <w:rFonts w:hint="default" w:ascii="Consolas" w:hAnsi="Consolas" w:eastAsia="Consolas" w:cs="Consolas"/>
      <w:color w:val="C7254E"/>
      <w:sz w:val="21"/>
      <w:szCs w:val="21"/>
      <w:shd w:val="clear" w:fill="F8F8F8"/>
    </w:rPr>
  </w:style>
  <w:style w:type="character" w:styleId="13">
    <w:name w:val="HTML Keyboard"/>
    <w:basedOn w:val="7"/>
    <w:qFormat/>
    <w:uiPriority w:val="0"/>
    <w:rPr>
      <w:rFonts w:hint="default" w:ascii="Consolas" w:hAnsi="Consolas" w:eastAsia="Consolas" w:cs="Consolas"/>
      <w:sz w:val="21"/>
      <w:szCs w:val="21"/>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am-active"/>
    <w:basedOn w:val="7"/>
    <w:qFormat/>
    <w:uiPriority w:val="0"/>
    <w:rPr>
      <w:color w:val="0084C7"/>
      <w:shd w:val="clear" w:fill="F0F0F0"/>
    </w:rPr>
  </w:style>
  <w:style w:type="character" w:customStyle="1" w:styleId="16">
    <w:name w:val="am-active1"/>
    <w:basedOn w:val="7"/>
    <w:qFormat/>
    <w:uiPriority w:val="0"/>
    <w:rPr>
      <w:color w:val="1B961B"/>
    </w:rPr>
  </w:style>
  <w:style w:type="character" w:customStyle="1" w:styleId="17">
    <w:name w:val="am-active2"/>
    <w:basedOn w:val="7"/>
    <w:qFormat/>
    <w:uiPriority w:val="0"/>
    <w:rPr>
      <w:color w:val="C10802"/>
    </w:rPr>
  </w:style>
  <w:style w:type="character" w:customStyle="1" w:styleId="18">
    <w:name w:val="am-active3"/>
    <w:basedOn w:val="7"/>
    <w:qFormat/>
    <w:uiPriority w:val="0"/>
    <w:rPr>
      <w:color w:val="AA4B00"/>
    </w:rPr>
  </w:style>
  <w:style w:type="character" w:customStyle="1" w:styleId="19">
    <w:name w:val="am-disabled16"/>
    <w:basedOn w:val="7"/>
    <w:qFormat/>
    <w:uiPriority w:val="0"/>
    <w:rPr>
      <w:color w:val="999999"/>
      <w:shd w:val="clear" w:fill="FAFAFA"/>
    </w:rPr>
  </w:style>
  <w:style w:type="character" w:customStyle="1" w:styleId="20">
    <w:name w:val="am-datepicker-old"/>
    <w:basedOn w:val="7"/>
    <w:qFormat/>
    <w:uiPriority w:val="0"/>
    <w:rPr>
      <w:color w:val="89D7FF"/>
    </w:rPr>
  </w:style>
  <w:style w:type="character" w:customStyle="1" w:styleId="21">
    <w:name w:val="am-datepicker-old1"/>
    <w:basedOn w:val="7"/>
    <w:qFormat/>
    <w:uiPriority w:val="0"/>
    <w:rPr>
      <w:color w:val="94DF94"/>
    </w:rPr>
  </w:style>
  <w:style w:type="character" w:customStyle="1" w:styleId="22">
    <w:name w:val="am-datepicker-old2"/>
    <w:basedOn w:val="7"/>
    <w:qFormat/>
    <w:uiPriority w:val="0"/>
    <w:rPr>
      <w:color w:val="F59490"/>
    </w:rPr>
  </w:style>
  <w:style w:type="character" w:customStyle="1" w:styleId="23">
    <w:name w:val="am-datepicker-old3"/>
    <w:basedOn w:val="7"/>
    <w:qFormat/>
    <w:uiPriority w:val="0"/>
    <w:rPr>
      <w:color w:val="FFAD6D"/>
    </w:rPr>
  </w:style>
  <w:style w:type="character" w:customStyle="1" w:styleId="24">
    <w:name w:val="hover24"/>
    <w:basedOn w:val="7"/>
    <w:qFormat/>
    <w:uiPriority w:val="0"/>
    <w:rPr>
      <w:shd w:val="clear" w:fill="F0F0F0"/>
    </w:rPr>
  </w:style>
  <w:style w:type="character" w:customStyle="1" w:styleId="25">
    <w:name w:val="layui-this"/>
    <w:basedOn w:val="7"/>
    <w:qFormat/>
    <w:uiPriority w:val="0"/>
    <w:rPr>
      <w:bdr w:val="single" w:color="EEEEEE" w:sz="4" w:space="0"/>
      <w:shd w:val="clear" w:fill="FFFFFF"/>
    </w:rPr>
  </w:style>
  <w:style w:type="character" w:customStyle="1" w:styleId="26">
    <w:name w:val="first-child2"/>
    <w:basedOn w:val="7"/>
    <w:qFormat/>
    <w:uiPriority w:val="0"/>
  </w:style>
  <w:style w:type="character" w:customStyle="1" w:styleId="27">
    <w:name w:val="first-child"/>
    <w:basedOn w:val="7"/>
    <w:qFormat/>
    <w:uiPriority w:val="0"/>
  </w:style>
  <w:style w:type="character" w:customStyle="1" w:styleId="28">
    <w:name w:val="am-active19"/>
    <w:basedOn w:val="7"/>
    <w:qFormat/>
    <w:uiPriority w:val="0"/>
    <w:rPr>
      <w:color w:val="C10802"/>
    </w:rPr>
  </w:style>
  <w:style w:type="character" w:customStyle="1" w:styleId="29">
    <w:name w:val="am-active20"/>
    <w:basedOn w:val="7"/>
    <w:qFormat/>
    <w:uiPriority w:val="0"/>
    <w:rPr>
      <w:color w:val="AA4B00"/>
    </w:rPr>
  </w:style>
  <w:style w:type="character" w:customStyle="1" w:styleId="30">
    <w:name w:val="am-active21"/>
    <w:basedOn w:val="7"/>
    <w:qFormat/>
    <w:uiPriority w:val="0"/>
    <w:rPr>
      <w:color w:val="0084C7"/>
      <w:shd w:val="clear" w:fill="F0F0F0"/>
    </w:rPr>
  </w:style>
  <w:style w:type="character" w:customStyle="1" w:styleId="31">
    <w:name w:val="am-active22"/>
    <w:basedOn w:val="7"/>
    <w:qFormat/>
    <w:uiPriority w:val="0"/>
    <w:rPr>
      <w:color w:val="1B961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3272</Words>
  <Characters>3407</Characters>
  <Lines>0</Lines>
  <Paragraphs>0</Paragraphs>
  <TotalTime>17</TotalTime>
  <ScaleCrop>false</ScaleCrop>
  <LinksUpToDate>false</LinksUpToDate>
  <CharactersWithSpaces>3434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2023-01-16T14:07:00Z</dcterms:created>
  <dc:creator>小确幸</dc:creator>
  <cp:lastModifiedBy>小确幸</cp:lastModifiedBy>
  <cp:lastPrinted>2023-02-08T07:44:00Z</cp:lastPrinted>
  <dcterms:modified xsi:type="dcterms:W3CDTF">2023-02-17T06:43:37Z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18CB4CC7AA2F480EBB2E5857AE32B1D7</vt:lpwstr>
  </property>
</Properties>
</file>