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淄博市公共资源交易中心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yellow"/>
        </w:rPr>
      </w:pPr>
      <w:r>
        <w:rPr>
          <w:rFonts w:hint="eastAsia" w:ascii="仿宋_GB2312" w:hAnsi="仿宋_GB2312" w:eastAsia="仿宋_GB2312" w:cs="仿宋_GB2312"/>
          <w:color w:val="auto"/>
          <w:sz w:val="32"/>
          <w:szCs w:val="40"/>
          <w:highlight w:val="none"/>
        </w:rPr>
        <w:t>本年度报告中所列数据的统计期限自202</w:t>
      </w:r>
      <w:r>
        <w:rPr>
          <w:rFonts w:hint="eastAsia" w:ascii="仿宋_GB2312" w:hAnsi="仿宋_GB2312" w:eastAsia="仿宋_GB2312" w:cs="仿宋_GB2312"/>
          <w:color w:val="auto"/>
          <w:sz w:val="32"/>
          <w:szCs w:val="40"/>
          <w:highlight w:val="none"/>
          <w:lang w:val="en-US" w:eastAsia="zh-CN"/>
        </w:rPr>
        <w:t>3</w:t>
      </w:r>
      <w:r>
        <w:rPr>
          <w:rFonts w:hint="eastAsia" w:ascii="仿宋_GB2312" w:hAnsi="仿宋_GB2312" w:eastAsia="仿宋_GB2312" w:cs="仿宋_GB2312"/>
          <w:color w:val="auto"/>
          <w:sz w:val="32"/>
          <w:szCs w:val="40"/>
          <w:highlight w:val="none"/>
        </w:rPr>
        <w:t>年1月1日起，至202</w:t>
      </w:r>
      <w:r>
        <w:rPr>
          <w:rFonts w:hint="eastAsia" w:ascii="仿宋_GB2312" w:hAnsi="仿宋_GB2312" w:eastAsia="仿宋_GB2312" w:cs="仿宋_GB2312"/>
          <w:color w:val="auto"/>
          <w:sz w:val="32"/>
          <w:szCs w:val="40"/>
          <w:highlight w:val="none"/>
          <w:lang w:val="en-US" w:eastAsia="zh-CN"/>
        </w:rPr>
        <w:t>3</w:t>
      </w:r>
      <w:r>
        <w:rPr>
          <w:rFonts w:hint="eastAsia" w:ascii="仿宋_GB2312" w:hAnsi="仿宋_GB2312" w:eastAsia="仿宋_GB2312" w:cs="仿宋_GB2312"/>
          <w:color w:val="auto"/>
          <w:sz w:val="32"/>
          <w:szCs w:val="40"/>
          <w:highlight w:val="none"/>
        </w:rPr>
        <w:t>年12月31日止。如对报告内容有疑问，请与</w:t>
      </w:r>
      <w:r>
        <w:rPr>
          <w:rFonts w:hint="eastAsia" w:ascii="仿宋_GB2312" w:hAnsi="仿宋_GB2312" w:eastAsia="仿宋_GB2312" w:cs="仿宋_GB2312"/>
          <w:color w:val="auto"/>
          <w:sz w:val="32"/>
          <w:szCs w:val="40"/>
          <w:highlight w:val="none"/>
          <w:lang w:val="en-US" w:eastAsia="zh-CN"/>
        </w:rPr>
        <w:t>淄博市公共资源交易中心</w:t>
      </w:r>
      <w:r>
        <w:rPr>
          <w:rFonts w:hint="eastAsia" w:ascii="仿宋_GB2312" w:hAnsi="仿宋_GB2312" w:eastAsia="仿宋_GB2312" w:cs="仿宋_GB2312"/>
          <w:color w:val="auto"/>
          <w:sz w:val="32"/>
          <w:szCs w:val="40"/>
          <w:highlight w:val="none"/>
        </w:rPr>
        <w:t>联系（地址：</w:t>
      </w:r>
      <w:r>
        <w:rPr>
          <w:rFonts w:hint="eastAsia" w:ascii="仿宋_GB2312" w:hAnsi="仿宋_GB2312" w:eastAsia="仿宋_GB2312" w:cs="仿宋_GB2312"/>
          <w:color w:val="auto"/>
          <w:sz w:val="32"/>
          <w:szCs w:val="40"/>
          <w:highlight w:val="none"/>
          <w:lang w:val="en-US" w:eastAsia="zh-CN"/>
        </w:rPr>
        <w:t>山东省淄博市高新区柳泉路125号先进陶瓷创新园B座</w:t>
      </w:r>
      <w:r>
        <w:rPr>
          <w:rFonts w:hint="eastAsia" w:ascii="仿宋_GB2312" w:hAnsi="仿宋_GB2312" w:eastAsia="仿宋_GB2312" w:cs="仿宋_GB2312"/>
          <w:color w:val="auto"/>
          <w:sz w:val="32"/>
          <w:szCs w:val="40"/>
          <w:highlight w:val="none"/>
        </w:rPr>
        <w:t>；邮编：</w:t>
      </w:r>
      <w:r>
        <w:rPr>
          <w:rFonts w:hint="eastAsia" w:ascii="仿宋_GB2312" w:hAnsi="仿宋_GB2312" w:eastAsia="仿宋_GB2312" w:cs="仿宋_GB2312"/>
          <w:color w:val="auto"/>
          <w:sz w:val="32"/>
          <w:szCs w:val="40"/>
          <w:highlight w:val="none"/>
          <w:lang w:val="en-US" w:eastAsia="zh-CN"/>
        </w:rPr>
        <w:t>255000</w:t>
      </w:r>
      <w:r>
        <w:rPr>
          <w:rFonts w:hint="eastAsia" w:ascii="仿宋_GB2312" w:hAnsi="仿宋_GB2312" w:eastAsia="仿宋_GB2312" w:cs="仿宋_GB2312"/>
          <w:color w:val="auto"/>
          <w:sz w:val="32"/>
          <w:szCs w:val="40"/>
          <w:highlight w:val="none"/>
        </w:rPr>
        <w:t>；电话：</w:t>
      </w:r>
      <w:r>
        <w:rPr>
          <w:rFonts w:hint="eastAsia" w:ascii="仿宋_GB2312" w:hAnsi="仿宋_GB2312" w:eastAsia="仿宋_GB2312" w:cs="仿宋_GB2312"/>
          <w:color w:val="auto"/>
          <w:sz w:val="32"/>
          <w:szCs w:val="40"/>
          <w:highlight w:val="none"/>
          <w:lang w:val="en-US" w:eastAsia="zh-CN"/>
        </w:rPr>
        <w:t>0533-2270076</w:t>
      </w:r>
      <w:r>
        <w:rPr>
          <w:rFonts w:hint="eastAsia" w:ascii="仿宋_GB2312" w:hAnsi="仿宋_GB2312" w:eastAsia="仿宋_GB2312" w:cs="仿宋_GB2312"/>
          <w:color w:val="auto"/>
          <w:sz w:val="32"/>
          <w:szCs w:val="40"/>
          <w:highlight w:val="none"/>
        </w:rPr>
        <w:t>；邮箱</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sggzyjyzxzhk@zb.shandong.cn</w:t>
      </w:r>
      <w:r>
        <w:rPr>
          <w:rFonts w:hint="eastAsia" w:ascii="仿宋_GB2312" w:hAnsi="仿宋_GB2312" w:eastAsia="仿宋_GB2312" w:cs="仿宋_GB2312"/>
          <w:color w:val="auto"/>
          <w:sz w:val="32"/>
          <w:szCs w:val="40"/>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yellow"/>
          <w:lang w:val="en-US" w:eastAsia="zh-CN"/>
        </w:rPr>
      </w:pPr>
      <w:r>
        <w:rPr>
          <w:rFonts w:hint="eastAsia" w:ascii="仿宋_GB2312" w:hAnsi="仿宋_GB2312" w:eastAsia="仿宋_GB2312" w:cs="仿宋_GB2312"/>
          <w:color w:val="auto"/>
          <w:sz w:val="32"/>
          <w:szCs w:val="40"/>
          <w:highlight w:val="none"/>
        </w:rPr>
        <w:t>市公共资源交易中心</w:t>
      </w:r>
      <w:r>
        <w:rPr>
          <w:rFonts w:hint="eastAsia" w:ascii="仿宋_GB2312" w:hAnsi="仿宋_GB2312" w:eastAsia="仿宋_GB2312" w:cs="仿宋_GB2312"/>
          <w:color w:val="auto"/>
          <w:sz w:val="32"/>
          <w:szCs w:val="40"/>
          <w:highlight w:val="none"/>
          <w:lang w:eastAsia="zh-CN"/>
        </w:rPr>
        <w:t>全面贯彻落实党的二十大精神，以《中华人民共和国政府信息公开条例》为指引，重点围绕公共资源交易领域政府信息公开工作，聚焦拓宽公开渠道、规范公开流程、提升公开实效等方面，加大信息公开力度，深化重点领域公开，加强政策解读与回应互动</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sz w:val="32"/>
          <w:szCs w:val="40"/>
          <w:highlight w:val="none"/>
          <w:lang w:eastAsia="zh-CN"/>
        </w:rPr>
        <w:t>切实保障了公众的知情权、参与权和监督权。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2"/>
          <w:sz w:val="32"/>
          <w:szCs w:val="40"/>
          <w:highlight w:val="yellow"/>
          <w:lang w:val="en-US" w:eastAsia="zh-CN" w:bidi="ar-SA"/>
        </w:rPr>
      </w:pPr>
      <w:r>
        <w:rPr>
          <w:rFonts w:hint="eastAsia" w:ascii="楷体_GB2312" w:hAnsi="楷体_GB2312" w:eastAsia="楷体_GB2312" w:cs="楷体_GB2312"/>
          <w:color w:val="auto"/>
          <w:kern w:val="2"/>
          <w:sz w:val="32"/>
          <w:szCs w:val="40"/>
          <w:highlight w:val="none"/>
          <w:lang w:val="en-US" w:eastAsia="zh-CN" w:bidi="ar-SA"/>
        </w:rPr>
        <w:t>（一）主动公开方面</w:t>
      </w:r>
    </w:p>
    <w:p>
      <w:pPr>
        <w:keepNext w:val="0"/>
        <w:keepLines w:val="0"/>
        <w:pageBreakBefore w:val="0"/>
        <w:widowControl w:val="0"/>
        <w:suppressLineNumbers w:val="0"/>
        <w:tabs>
          <w:tab w:val="left" w:pos="7140"/>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研究制定《淄博市公共资源交易中心2023年政务公开工作要点》，对重点工作任务、工作举措、完成时限等进行明确，主动公开</w:t>
      </w:r>
      <w:r>
        <w:rPr>
          <w:rFonts w:hint="eastAsia" w:ascii="仿宋_GB2312" w:hAnsi="仿宋_GB2312" w:eastAsia="仿宋_GB2312" w:cs="仿宋_GB2312"/>
          <w:b w:val="0"/>
          <w:bCs w:val="0"/>
          <w:color w:val="auto"/>
          <w:sz w:val="32"/>
          <w:szCs w:val="40"/>
          <w:highlight w:val="none"/>
          <w:lang w:val="en-US" w:eastAsia="zh-CN"/>
        </w:rPr>
        <w:t>机构概况、工作制度、财税信息、政务监督、意见征集和重点工作等内容。畅通政策解读渠道，提高解读质量，丰富解读形式，在关注度较高、涉及市场主体切身利益的政策文件出台后，及时根据政策文件的重要程度、覆盖范围及市场主体特点，从主要领导解读、专家解读、专业机构从业人员解读、媒体解读等角度，采取文稿解读、图片解读、动漫解读等形式对政策背景、决策依据、出台目的、重要举措等进行解读，全年</w:t>
      </w:r>
      <w:r>
        <w:rPr>
          <w:rFonts w:hint="eastAsia" w:ascii="仿宋_GB2312" w:hAnsi="仿宋_GB2312" w:eastAsia="仿宋_GB2312" w:cs="仿宋_GB2312"/>
          <w:color w:val="auto"/>
          <w:sz w:val="32"/>
          <w:szCs w:val="40"/>
          <w:highlight w:val="none"/>
          <w:lang w:val="en-US" w:eastAsia="zh-CN"/>
        </w:rPr>
        <w:t>共发布解读类信息27次。做好会议公开与会议解读，及时公开主任办公会和“三提三争”工作推进会会议情况，2023年共召开主任办公会8次，研究重要议题32个，邀请第三方机构列席1次；召开“三提三争”工作推进会5次，并及时做好主任办公会重要议题的解读工作。2023年在淄博市公共资源交易网发布信息22488条，在中心微信公众号发布信息313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2"/>
          <w:sz w:val="32"/>
          <w:szCs w:val="40"/>
          <w:highlight w:val="none"/>
          <w:lang w:val="en-US" w:eastAsia="zh-CN" w:bidi="ar-SA"/>
        </w:rPr>
      </w:pPr>
      <w:r>
        <w:rPr>
          <w:rFonts w:hint="eastAsia" w:ascii="楷体_GB2312" w:hAnsi="楷体_GB2312" w:eastAsia="楷体_GB2312" w:cs="楷体_GB2312"/>
          <w:color w:val="auto"/>
          <w:kern w:val="2"/>
          <w:sz w:val="32"/>
          <w:szCs w:val="40"/>
          <w:highlight w:val="none"/>
          <w:lang w:val="en-US" w:eastAsia="zh-CN" w:bidi="ar-SA"/>
        </w:rPr>
        <w:t>（二）依申请公开工作方面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大标宋_GBK" w:hAnsi="方正大标宋_GBK" w:eastAsia="方正大标宋_GBK" w:cs="方正大标宋_GBK"/>
          <w:color w:val="auto"/>
          <w:sz w:val="44"/>
          <w:szCs w:val="44"/>
          <w:highlight w:val="yellow"/>
          <w:lang w:val="en-US" w:eastAsia="zh-CN"/>
        </w:rPr>
      </w:pPr>
      <w:r>
        <w:rPr>
          <w:rFonts w:hint="eastAsia" w:ascii="仿宋_GB2312" w:hAnsi="仿宋_GB2312" w:eastAsia="仿宋_GB2312" w:cs="仿宋_GB2312"/>
          <w:color w:val="auto"/>
          <w:sz w:val="32"/>
          <w:szCs w:val="40"/>
          <w:highlight w:val="none"/>
          <w:lang w:val="en-US" w:eastAsia="zh-CN"/>
        </w:rPr>
        <w:t>畅通依申请公开受理渠道，</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严格遵循依申请办理程序，做好依申请公开登记、审核、办理、答复和归档等环节，依规按时处理</w:t>
      </w:r>
      <w:r>
        <w:rPr>
          <w:rFonts w:hint="eastAsia" w:ascii="仿宋_GB2312" w:hAnsi="仿宋_GB2312" w:eastAsia="仿宋_GB2312" w:cs="仿宋_GB2312"/>
          <w:color w:val="auto"/>
          <w:sz w:val="32"/>
          <w:szCs w:val="40"/>
          <w:highlight w:val="none"/>
          <w:lang w:val="en-US" w:eastAsia="zh-CN"/>
        </w:rPr>
        <w:t>。2023年，收到政府信息公开申请5件，与上年持平，</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主要涉及交易信息、管理制度、工作计划等内容，</w:t>
      </w:r>
      <w:r>
        <w:rPr>
          <w:rFonts w:hint="eastAsia" w:ascii="仿宋_GB2312" w:hAnsi="仿宋_GB2312" w:eastAsia="仿宋_GB2312" w:cs="仿宋_GB2312"/>
          <w:color w:val="auto"/>
          <w:sz w:val="32"/>
          <w:szCs w:val="40"/>
          <w:highlight w:val="none"/>
          <w:lang w:val="en-US" w:eastAsia="zh-CN"/>
        </w:rPr>
        <w:t>均</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已按要求出具政府信息公开申请答复书，在此过程中无信息公开收费情况，也</w:t>
      </w:r>
      <w:r>
        <w:rPr>
          <w:rFonts w:hint="eastAsia" w:ascii="仿宋_GB2312" w:hAnsi="仿宋_GB2312" w:eastAsia="仿宋_GB2312" w:cs="仿宋_GB2312"/>
          <w:color w:val="auto"/>
          <w:sz w:val="32"/>
          <w:szCs w:val="40"/>
          <w:highlight w:val="none"/>
          <w:lang w:val="en-US" w:eastAsia="zh-CN"/>
        </w:rPr>
        <w:t>无因</w:t>
      </w:r>
      <w:r>
        <w:rPr>
          <w:rFonts w:hint="eastAsia" w:ascii="仿宋_GB2312" w:hAnsi="仿宋_GB2312" w:eastAsia="仿宋_GB2312" w:cs="仿宋_GB2312"/>
          <w:color w:val="auto"/>
          <w:kern w:val="2"/>
          <w:sz w:val="32"/>
          <w:szCs w:val="40"/>
          <w:highlight w:val="none"/>
          <w:lang w:val="en-US" w:eastAsia="zh-CN" w:bidi="ar-SA"/>
        </w:rPr>
        <w:t>依申请公开引发的行政复议案件，较好保障了企业和群众获取政府信息的权利。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40"/>
          <w:highlight w:val="none"/>
          <w:lang w:val="en-US" w:eastAsia="zh-CN" w:bidi="ar-SA"/>
        </w:rPr>
      </w:pPr>
      <w:r>
        <w:rPr>
          <w:rFonts w:hint="eastAsia" w:ascii="楷体_GB2312" w:hAnsi="楷体_GB2312" w:eastAsia="楷体_GB2312" w:cs="楷体_GB2312"/>
          <w:color w:val="auto"/>
          <w:kern w:val="2"/>
          <w:sz w:val="32"/>
          <w:szCs w:val="40"/>
          <w:highlight w:val="none"/>
          <w:lang w:val="en-US" w:eastAsia="zh-CN" w:bidi="ar-SA"/>
        </w:rPr>
        <w:t>（三）政府信息管理方面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yellow"/>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动态更新政府信息主动公开目录，印发《淄博市公共资源交易中心主动公开基本目录（2023年版）》，对公开事项的主体、内容、时限、方式等要素进行阐述，目录内容更加完善；多板块推动交易信息与政务公开工作紧密结合，公共资源交易信息和农村产权交易信息板块各环节互联互通，实现交易公告“一链式”全读，打造交易信息全生命周期公开模式；落实政府信息公开属性源头认定机制，根据公开属性确定是否公开发布，法定主动公开内容全量公开，要素齐全，发布规范。对拟公开的政府信息依法依规做好保密审查，切实做到“涉密信息不上网，上网信息不涉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2"/>
          <w:sz w:val="32"/>
          <w:szCs w:val="40"/>
          <w:highlight w:val="none"/>
          <w:lang w:val="en-US" w:eastAsia="zh-CN" w:bidi="ar-SA"/>
        </w:rPr>
      </w:pPr>
      <w:r>
        <w:rPr>
          <w:rFonts w:hint="eastAsia" w:ascii="楷体_GB2312" w:hAnsi="楷体_GB2312" w:eastAsia="楷体_GB2312" w:cs="楷体_GB2312"/>
          <w:color w:val="auto"/>
          <w:kern w:val="2"/>
          <w:sz w:val="32"/>
          <w:szCs w:val="40"/>
          <w:highlight w:val="none"/>
          <w:lang w:val="en-US" w:eastAsia="zh-CN" w:bidi="ar-SA"/>
        </w:rPr>
        <w:t>（四）平台建设方面</w:t>
      </w:r>
    </w:p>
    <w:p>
      <w:pPr>
        <w:keepNext w:val="0"/>
        <w:keepLines w:val="0"/>
        <w:pageBreakBefore w:val="0"/>
        <w:widowControl/>
        <w:numPr>
          <w:ilvl w:val="0"/>
          <w:numId w:val="0"/>
        </w:numPr>
        <w:suppressLineNumbers w:val="0"/>
        <w:shd w:val="clear" w:color="auto" w:fill="FFFFFF"/>
        <w:kinsoku/>
        <w:wordWrap w:val="0"/>
        <w:overflowPunct/>
        <w:topLinePunct w:val="0"/>
        <w:autoSpaceDE/>
        <w:autoSpaceDN/>
        <w:bidi w:val="0"/>
        <w:adjustRightInd/>
        <w:snapToGrid/>
        <w:spacing w:afterAutospacing="0" w:line="560" w:lineRule="exact"/>
        <w:ind w:firstLine="640" w:firstLineChars="200"/>
        <w:jc w:val="both"/>
        <w:textAlignment w:val="auto"/>
        <w:rPr>
          <w:rFonts w:hint="default"/>
          <w:highlight w:val="yellow"/>
          <w:lang w:val="en-US" w:eastAsia="zh-CN"/>
        </w:rPr>
      </w:pPr>
      <w:r>
        <w:rPr>
          <w:rFonts w:hint="eastAsia" w:ascii="仿宋_GB2312" w:hAnsi="仿宋_GB2312" w:eastAsia="仿宋_GB2312" w:cs="仿宋_GB2312"/>
          <w:color w:val="auto"/>
          <w:sz w:val="32"/>
          <w:szCs w:val="32"/>
          <w:highlight w:val="none"/>
          <w:lang w:val="en-US" w:eastAsia="zh-CN"/>
        </w:rPr>
        <w:t>根据《淄博市公共资源交易中心读网制度》要求，组织开展网站问题自查1次、政府网站和政务新媒体工作落实情况自查3次，做到即知即改，进一步规范网站建设和管理。优化网站建设，进行适老化和无障碍改造，在网站首页交易服务大厅版块设立开标大厅栏目，突出沉浸式体验场景应用，方便市场主体了解今日项目交易具体情况，网站全年维护专栏专题227个。充分发挥政务新媒体推介作用，整合网站政策解读、业务查询、互动交流等功能，及时更新转载各类信息，截止目前，淄博市公共资源交易中心微信公众号关注人数6723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color w:val="auto"/>
          <w:kern w:val="2"/>
          <w:sz w:val="32"/>
          <w:szCs w:val="40"/>
          <w:highlight w:val="none"/>
          <w:lang w:val="en-US" w:eastAsia="zh-CN" w:bidi="ar-SA"/>
        </w:rPr>
        <w:t>（五）监督保障方面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Segoe UI"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Segoe UI" w:eastAsia="仿宋_GB2312" w:cs="仿宋_GB2312"/>
          <w:i w:val="0"/>
          <w:iCs w:val="0"/>
          <w:caps w:val="0"/>
          <w:color w:val="auto"/>
          <w:spacing w:val="0"/>
          <w:kern w:val="0"/>
          <w:sz w:val="32"/>
          <w:szCs w:val="32"/>
          <w:highlight w:val="none"/>
          <w:shd w:val="clear" w:fill="FFFFFF"/>
          <w:lang w:val="en-US" w:eastAsia="zh-CN" w:bidi="ar"/>
        </w:rPr>
        <w:t>调整政务公开工作领导小组，明确主要负责同志对政务公开工作负总责，形成了统一指导、责任明确、层层抓落实的工作格局。2023年政务公开领导小组召开会议1次，主要负责同志专题听取工作汇报1次，实现政务公开与业务工作同研究同部署。制定2023年政务公开培训计划，全年开展专题培训1次。建立“好差评”线上评价机制，并在网站首页以飘窗的形式展示，畅通市场主体监督与评价渠道，目前已累计接收评价673条。“意见征集”栏目主动发布7期征集调查事项，收到98条意见建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宋体" w:eastAsia="黑体" w:cs="黑体"/>
          <w:i w:val="0"/>
          <w:iCs w:val="0"/>
          <w:caps w:val="0"/>
          <w:color w:val="auto"/>
          <w:spacing w:val="0"/>
          <w:sz w:val="32"/>
          <w:szCs w:val="32"/>
          <w:shd w:val="clear" w:fill="FFFFFF"/>
          <w:lang w:val="en-US" w:eastAsia="zh-CN"/>
        </w:rPr>
      </w:pPr>
      <w:r>
        <w:rPr>
          <w:rFonts w:ascii="黑体" w:hAnsi="宋体" w:eastAsia="黑体" w:cs="黑体"/>
          <w:i w:val="0"/>
          <w:iCs w:val="0"/>
          <w:caps w:val="0"/>
          <w:color w:val="auto"/>
          <w:spacing w:val="0"/>
          <w:sz w:val="32"/>
          <w:szCs w:val="32"/>
          <w:highlight w:val="none"/>
          <w:shd w:val="clear" w:fill="FFFFFF"/>
        </w:rPr>
        <w:t>主动公开政府信息情况</w:t>
      </w:r>
    </w:p>
    <w:p>
      <w:pPr>
        <w:pStyle w:val="2"/>
        <w:rPr>
          <w:rFonts w:hint="default"/>
          <w:lang w:val="en-US" w:eastAsia="zh-CN"/>
        </w:rPr>
      </w:pPr>
    </w:p>
    <w:tbl>
      <w:tblPr>
        <w:tblStyle w:val="7"/>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00"/>
        <w:gridCol w:w="1980"/>
        <w:gridCol w:w="202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25"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信息内容</w:t>
            </w:r>
          </w:p>
        </w:tc>
        <w:tc>
          <w:tcPr>
            <w:tcW w:w="198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本年制发件数</w:t>
            </w:r>
          </w:p>
        </w:tc>
        <w:tc>
          <w:tcPr>
            <w:tcW w:w="2025"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本年废止件数</w:t>
            </w:r>
          </w:p>
        </w:tc>
        <w:tc>
          <w:tcPr>
            <w:tcW w:w="222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规章</w:t>
            </w:r>
          </w:p>
        </w:tc>
        <w:tc>
          <w:tcPr>
            <w:tcW w:w="198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c>
          <w:tcPr>
            <w:tcW w:w="2025"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c>
          <w:tcPr>
            <w:tcW w:w="222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行政规范性文件</w:t>
            </w:r>
          </w:p>
        </w:tc>
        <w:tc>
          <w:tcPr>
            <w:tcW w:w="198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c>
          <w:tcPr>
            <w:tcW w:w="2025"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c>
          <w:tcPr>
            <w:tcW w:w="222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8925" w:type="dxa"/>
            <w:gridSpan w:val="4"/>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信息内容</w:t>
            </w:r>
          </w:p>
        </w:tc>
        <w:tc>
          <w:tcPr>
            <w:tcW w:w="6225"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行政许可</w:t>
            </w:r>
          </w:p>
        </w:tc>
        <w:tc>
          <w:tcPr>
            <w:tcW w:w="622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rPr>
        <w:tc>
          <w:tcPr>
            <w:tcW w:w="8925" w:type="dxa"/>
            <w:gridSpan w:val="4"/>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信息内容</w:t>
            </w:r>
          </w:p>
        </w:tc>
        <w:tc>
          <w:tcPr>
            <w:tcW w:w="6225"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5"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行政处罚</w:t>
            </w:r>
          </w:p>
        </w:tc>
        <w:tc>
          <w:tcPr>
            <w:tcW w:w="622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5"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行政强制</w:t>
            </w:r>
          </w:p>
        </w:tc>
        <w:tc>
          <w:tcPr>
            <w:tcW w:w="622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rPr>
        <w:tc>
          <w:tcPr>
            <w:tcW w:w="8925" w:type="dxa"/>
            <w:gridSpan w:val="4"/>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信息内容</w:t>
            </w:r>
          </w:p>
        </w:tc>
        <w:tc>
          <w:tcPr>
            <w:tcW w:w="6225"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行政事业性收费</w:t>
            </w:r>
          </w:p>
        </w:tc>
        <w:tc>
          <w:tcPr>
            <w:tcW w:w="622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黑体" w:hAnsi="宋体" w:eastAsia="黑体" w:cs="黑体"/>
          <w:i w:val="0"/>
          <w:iCs w:val="0"/>
          <w:caps w:val="0"/>
          <w:color w:val="auto"/>
          <w:spacing w:val="0"/>
          <w:sz w:val="32"/>
          <w:szCs w:val="32"/>
          <w:shd w:val="clear" w:fill="FFFFFF"/>
          <w:lang w:val="en-US" w:eastAsia="zh-CN"/>
        </w:rPr>
        <w:t>三、收到和处理政府信息公开申请情况</w:t>
      </w:r>
    </w:p>
    <w:tbl>
      <w:tblPr>
        <w:tblStyle w:val="7"/>
        <w:tblpPr w:leftFromText="180" w:rightFromText="180" w:vertAnchor="text" w:horzAnchor="page" w:tblpX="1317" w:tblpY="237"/>
        <w:tblOverlap w:val="never"/>
        <w:tblW w:w="948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9"/>
        <w:gridCol w:w="1700"/>
        <w:gridCol w:w="2974"/>
        <w:gridCol w:w="571"/>
        <w:gridCol w:w="645"/>
        <w:gridCol w:w="585"/>
        <w:gridCol w:w="795"/>
        <w:gridCol w:w="806"/>
        <w:gridCol w:w="499"/>
        <w:gridCol w:w="4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trPr>
        <w:tc>
          <w:tcPr>
            <w:tcW w:w="5093"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1286" w:right="222" w:hanging="1052"/>
              <w:rPr>
                <w:rFonts w:hint="eastAsia" w:ascii="宋体" w:hAnsi="宋体" w:eastAsia="宋体" w:cs="宋体"/>
                <w:i w:val="0"/>
                <w:iCs w:val="0"/>
                <w:caps w:val="0"/>
                <w:color w:val="auto"/>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1286" w:right="222" w:hanging="1052"/>
              <w:rPr>
                <w:rFonts w:hint="eastAsia" w:ascii="宋体" w:hAnsi="宋体" w:eastAsia="宋体" w:cs="宋体"/>
                <w:i w:val="0"/>
                <w:iCs w:val="0"/>
                <w:caps w:val="0"/>
                <w:color w:val="auto"/>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1286" w:right="222" w:hanging="1052"/>
              <w:rPr>
                <w:color w:val="auto"/>
              </w:rPr>
            </w:pPr>
            <w:r>
              <w:rPr>
                <w:rFonts w:hint="eastAsia" w:ascii="宋体" w:hAnsi="宋体" w:eastAsia="宋体" w:cs="宋体"/>
                <w:i w:val="0"/>
                <w:iCs w:val="0"/>
                <w:caps w:val="0"/>
                <w:color w:val="auto"/>
                <w:spacing w:val="0"/>
                <w:sz w:val="21"/>
                <w:szCs w:val="21"/>
              </w:rPr>
              <w:t>（本列数据的勾稽关系为：第一项加第二项之和，等于第三项加第四项之和）</w:t>
            </w:r>
          </w:p>
        </w:tc>
        <w:tc>
          <w:tcPr>
            <w:tcW w:w="4396" w:type="dxa"/>
            <w:gridSpan w:val="7"/>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0" w:afterAutospacing="0"/>
              <w:ind w:left="1868" w:right="1847"/>
              <w:jc w:val="center"/>
              <w:rPr>
                <w:color w:val="auto"/>
              </w:rPr>
            </w:pPr>
            <w:r>
              <w:rPr>
                <w:rFonts w:ascii="黑体" w:hAnsi="宋体" w:eastAsia="黑体" w:cs="黑体"/>
                <w:i w:val="0"/>
                <w:iCs w:val="0"/>
                <w:caps w:val="0"/>
                <w:color w:val="auto"/>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trPr>
        <w:tc>
          <w:tcPr>
            <w:tcW w:w="509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571" w:type="dxa"/>
            <w:vMerge w:val="restart"/>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color w:val="auto"/>
              </w:rPr>
            </w:pPr>
            <w:r>
              <w:rPr>
                <w:rFonts w:ascii="Arial Unicode MS" w:hAnsi="Arial Unicode MS" w:eastAsia="Arial Unicode MS" w:cs="Arial Unicode MS"/>
                <w:i w:val="0"/>
                <w:iCs w:val="0"/>
                <w:caps w:val="0"/>
                <w:color w:val="auto"/>
                <w:spacing w:val="0"/>
                <w:sz w:val="14"/>
                <w:szCs w:val="14"/>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right="190"/>
              <w:jc w:val="center"/>
              <w:rPr>
                <w:color w:val="auto"/>
              </w:rPr>
            </w:pPr>
            <w:r>
              <w:rPr>
                <w:rFonts w:hint="eastAsia" w:ascii="黑体" w:hAnsi="宋体" w:eastAsia="黑体" w:cs="黑体"/>
                <w:i w:val="0"/>
                <w:iCs w:val="0"/>
                <w:caps w:val="0"/>
                <w:color w:val="auto"/>
                <w:spacing w:val="0"/>
                <w:sz w:val="21"/>
                <w:szCs w:val="21"/>
              </w:rPr>
              <w:t>自然人</w:t>
            </w:r>
          </w:p>
        </w:tc>
        <w:tc>
          <w:tcPr>
            <w:tcW w:w="3330" w:type="dxa"/>
            <w:gridSpan w:val="5"/>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97" w:beforeAutospacing="0" w:after="0" w:afterAutospacing="0"/>
              <w:ind w:left="839" w:right="0"/>
              <w:rPr>
                <w:color w:val="auto"/>
              </w:rPr>
            </w:pPr>
            <w:r>
              <w:rPr>
                <w:rFonts w:hint="eastAsia" w:ascii="黑体" w:hAnsi="宋体" w:eastAsia="黑体" w:cs="黑体"/>
                <w:i w:val="0"/>
                <w:iCs w:val="0"/>
                <w:caps w:val="0"/>
                <w:color w:val="auto"/>
                <w:spacing w:val="0"/>
                <w:sz w:val="21"/>
                <w:szCs w:val="21"/>
              </w:rPr>
              <w:t>法人或其他组织</w:t>
            </w:r>
          </w:p>
        </w:tc>
        <w:tc>
          <w:tcPr>
            <w:tcW w:w="495" w:type="dxa"/>
            <w:vMerge w:val="restart"/>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3"/>
                <w:szCs w:val="23"/>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9" w:right="0"/>
              <w:rPr>
                <w:color w:val="auto"/>
              </w:rPr>
            </w:pPr>
            <w:r>
              <w:rPr>
                <w:rFonts w:hint="eastAsia" w:ascii="黑体" w:hAnsi="宋体" w:eastAsia="黑体" w:cs="黑体"/>
                <w:i w:val="0"/>
                <w:iCs w:val="0"/>
                <w:caps w:val="0"/>
                <w:color w:val="auto"/>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trPr>
        <w:tc>
          <w:tcPr>
            <w:tcW w:w="509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571"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4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78" w:right="58"/>
              <w:rPr>
                <w:color w:val="auto"/>
              </w:rPr>
            </w:pPr>
            <w:r>
              <w:rPr>
                <w:rFonts w:hint="eastAsia" w:ascii="黑体" w:hAnsi="宋体" w:eastAsia="黑体" w:cs="黑体"/>
                <w:i w:val="0"/>
                <w:iCs w:val="0"/>
                <w:caps w:val="0"/>
                <w:color w:val="auto"/>
                <w:spacing w:val="0"/>
                <w:sz w:val="21"/>
                <w:szCs w:val="21"/>
              </w:rPr>
              <w:t>商业企业</w:t>
            </w:r>
          </w:p>
        </w:tc>
        <w:tc>
          <w:tcPr>
            <w:tcW w:w="58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77" w:right="59"/>
              <w:rPr>
                <w:color w:val="auto"/>
              </w:rPr>
            </w:pPr>
            <w:r>
              <w:rPr>
                <w:rFonts w:hint="eastAsia" w:ascii="黑体" w:hAnsi="宋体" w:eastAsia="黑体" w:cs="黑体"/>
                <w:i w:val="0"/>
                <w:iCs w:val="0"/>
                <w:caps w:val="0"/>
                <w:color w:val="auto"/>
                <w:spacing w:val="0"/>
                <w:sz w:val="21"/>
                <w:szCs w:val="21"/>
              </w:rPr>
              <w:t>科研机构</w:t>
            </w:r>
          </w:p>
        </w:tc>
        <w:tc>
          <w:tcPr>
            <w:tcW w:w="795"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55" w:right="34"/>
              <w:rPr>
                <w:color w:val="auto"/>
              </w:rPr>
            </w:pPr>
            <w:r>
              <w:rPr>
                <w:rFonts w:hint="eastAsia" w:ascii="黑体" w:hAnsi="宋体" w:eastAsia="黑体" w:cs="黑体"/>
                <w:i w:val="0"/>
                <w:iCs w:val="0"/>
                <w:caps w:val="0"/>
                <w:color w:val="auto"/>
                <w:spacing w:val="0"/>
                <w:sz w:val="21"/>
                <w:szCs w:val="21"/>
              </w:rPr>
              <w:t>社会公益组织</w:t>
            </w:r>
          </w:p>
        </w:tc>
        <w:tc>
          <w:tcPr>
            <w:tcW w:w="806"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44" w:right="22"/>
              <w:rPr>
                <w:color w:val="auto"/>
              </w:rPr>
            </w:pPr>
            <w:r>
              <w:rPr>
                <w:rFonts w:hint="eastAsia" w:ascii="黑体" w:hAnsi="宋体" w:eastAsia="黑体" w:cs="黑体"/>
                <w:i w:val="0"/>
                <w:iCs w:val="0"/>
                <w:caps w:val="0"/>
                <w:color w:val="auto"/>
                <w:spacing w:val="0"/>
                <w:sz w:val="21"/>
                <w:szCs w:val="21"/>
              </w:rPr>
              <w:t>法律服务机构</w:t>
            </w:r>
          </w:p>
        </w:tc>
        <w:tc>
          <w:tcPr>
            <w:tcW w:w="499"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12"/>
                <w:szCs w:val="12"/>
              </w:rPr>
              <w:t> </w:t>
            </w:r>
            <w:r>
              <w:rPr>
                <w:rFonts w:hint="eastAsia" w:ascii="黑体" w:hAnsi="宋体" w:eastAsia="黑体" w:cs="黑体"/>
                <w:i w:val="0"/>
                <w:iCs w:val="0"/>
                <w:caps w:val="0"/>
                <w:color w:val="auto"/>
                <w:spacing w:val="0"/>
                <w:sz w:val="21"/>
                <w:szCs w:val="21"/>
              </w:rPr>
              <w:t>其他</w:t>
            </w:r>
          </w:p>
        </w:tc>
        <w:tc>
          <w:tcPr>
            <w:tcW w:w="495" w:type="dxa"/>
            <w:vMerge w:val="continue"/>
            <w:tcBorders>
              <w:top w:val="single" w:color="000000" w:sz="8" w:space="0"/>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1" w:hRule="atLeast"/>
        </w:trPr>
        <w:tc>
          <w:tcPr>
            <w:tcW w:w="5093" w:type="dxa"/>
            <w:gridSpan w:val="3"/>
            <w:tcBorders>
              <w:top w:val="nil"/>
              <w:left w:val="single" w:color="000000" w:sz="8" w:space="0"/>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11" w:beforeAutospacing="0" w:after="0" w:afterAutospacing="0"/>
              <w:ind w:left="108" w:right="0"/>
              <w:rPr>
                <w:color w:val="auto"/>
              </w:rPr>
            </w:pPr>
            <w:r>
              <w:rPr>
                <w:rFonts w:hint="eastAsia" w:ascii="黑体" w:hAnsi="宋体" w:eastAsia="黑体" w:cs="黑体"/>
                <w:i w:val="0"/>
                <w:iCs w:val="0"/>
                <w:caps w:val="0"/>
                <w:color w:val="auto"/>
                <w:spacing w:val="0"/>
                <w:sz w:val="21"/>
                <w:szCs w:val="21"/>
              </w:rPr>
              <w:t>一、本年新收政府信息公开申请数量</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5</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5093" w:type="dxa"/>
            <w:gridSpan w:val="3"/>
            <w:tcBorders>
              <w:top w:val="nil"/>
              <w:left w:val="single" w:color="000000" w:sz="8" w:space="0"/>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11" w:beforeAutospacing="0" w:after="0" w:afterAutospacing="0"/>
              <w:ind w:left="108" w:right="0"/>
              <w:rPr>
                <w:color w:val="auto"/>
              </w:rPr>
            </w:pPr>
            <w:r>
              <w:rPr>
                <w:rFonts w:hint="eastAsia" w:ascii="黑体" w:hAnsi="宋体" w:eastAsia="黑体" w:cs="黑体"/>
                <w:i w:val="0"/>
                <w:iCs w:val="0"/>
                <w:caps w:val="0"/>
                <w:color w:val="auto"/>
                <w:spacing w:val="0"/>
                <w:sz w:val="21"/>
                <w:szCs w:val="21"/>
              </w:rPr>
              <w:t>二、上年结转政府信息公开申请数量</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419" w:type="dxa"/>
            <w:vMerge w:val="restart"/>
            <w:tcBorders>
              <w:top w:val="nil"/>
              <w:left w:val="single" w:color="000000" w:sz="8" w:space="0"/>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3"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16"/>
                <w:szCs w:val="16"/>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 w:right="0"/>
              <w:rPr>
                <w:color w:val="auto"/>
              </w:rPr>
            </w:pPr>
            <w:r>
              <w:rPr>
                <w:rFonts w:hint="eastAsia" w:ascii="黑体" w:hAnsi="宋体" w:eastAsia="黑体" w:cs="黑体"/>
                <w:i w:val="0"/>
                <w:iCs w:val="0"/>
                <w:caps w:val="0"/>
                <w:color w:val="auto"/>
                <w:spacing w:val="0"/>
                <w:sz w:val="21"/>
                <w:szCs w:val="21"/>
              </w:rPr>
              <w:t>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3" w:beforeAutospacing="0" w:after="0" w:afterAutospacing="0" w:line="276" w:lineRule="atLeast"/>
              <w:ind w:left="108" w:right="81"/>
              <w:jc w:val="both"/>
              <w:rPr>
                <w:color w:val="auto"/>
              </w:rPr>
            </w:pPr>
            <w:r>
              <w:rPr>
                <w:rFonts w:hint="eastAsia" w:ascii="黑体" w:hAnsi="宋体" w:eastAsia="黑体" w:cs="黑体"/>
                <w:i w:val="0"/>
                <w:iCs w:val="0"/>
                <w:caps w:val="0"/>
                <w:color w:val="auto"/>
                <w:spacing w:val="0"/>
                <w:sz w:val="21"/>
                <w:szCs w:val="21"/>
              </w:rPr>
              <w:t>、本年度办理结果</w:t>
            </w:r>
          </w:p>
        </w:tc>
        <w:tc>
          <w:tcPr>
            <w:tcW w:w="4674" w:type="dxa"/>
            <w:gridSpan w:val="2"/>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ind w:left="112" w:right="0"/>
              <w:rPr>
                <w:color w:val="auto"/>
              </w:rPr>
            </w:pPr>
            <w:r>
              <w:rPr>
                <w:rFonts w:hint="eastAsia" w:ascii="黑体" w:hAnsi="宋体" w:eastAsia="黑体" w:cs="黑体"/>
                <w:i w:val="0"/>
                <w:iCs w:val="0"/>
                <w:caps w:val="0"/>
                <w:color w:val="auto"/>
                <w:spacing w:val="0"/>
                <w:sz w:val="21"/>
                <w:szCs w:val="21"/>
              </w:rPr>
              <w:t>（一）予以公开</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5</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495" w:type="dxa"/>
            <w:tcBorders>
              <w:top w:val="single" w:color="000000" w:sz="8" w:space="0"/>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3"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4674" w:type="dxa"/>
            <w:gridSpan w:val="2"/>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112" w:right="0"/>
              <w:rPr>
                <w:color w:val="auto"/>
              </w:rPr>
            </w:pPr>
            <w:r>
              <w:rPr>
                <w:rFonts w:hint="eastAsia" w:ascii="黑体" w:hAnsi="宋体" w:eastAsia="黑体" w:cs="黑体"/>
                <w:i w:val="0"/>
                <w:iCs w:val="0"/>
                <w:caps w:val="0"/>
                <w:color w:val="auto"/>
                <w:spacing w:val="0"/>
                <w:sz w:val="21"/>
                <w:szCs w:val="21"/>
              </w:rPr>
              <w:t>（二）部分公开（区分处理的，只计这一情形，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3" w:beforeAutospacing="0" w:after="0" w:afterAutospacing="0" w:line="266" w:lineRule="atLeast"/>
              <w:ind w:left="112" w:right="0"/>
              <w:rPr>
                <w:color w:val="auto"/>
              </w:rPr>
            </w:pPr>
            <w:r>
              <w:rPr>
                <w:rFonts w:hint="eastAsia" w:ascii="黑体" w:hAnsi="宋体" w:eastAsia="黑体" w:cs="黑体"/>
                <w:i w:val="0"/>
                <w:iCs w:val="0"/>
                <w:caps w:val="0"/>
                <w:color w:val="auto"/>
                <w:spacing w:val="0"/>
                <w:sz w:val="21"/>
                <w:szCs w:val="21"/>
              </w:rPr>
              <w:t>不计其他情形）</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restart"/>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15"/>
                <w:szCs w:val="15"/>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 w:right="0"/>
              <w:rPr>
                <w:color w:val="auto"/>
              </w:rPr>
            </w:pPr>
            <w:r>
              <w:rPr>
                <w:rFonts w:hint="eastAsia" w:ascii="黑体" w:hAnsi="宋体" w:eastAsia="黑体" w:cs="黑体"/>
                <w:i w:val="0"/>
                <w:iCs w:val="0"/>
                <w:caps w:val="0"/>
                <w:color w:val="auto"/>
                <w:spacing w:val="0"/>
                <w:sz w:val="21"/>
                <w:szCs w:val="21"/>
              </w:rPr>
              <w:t>（三）不予公开</w:t>
            </w: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1.属于国家秘密</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single" w:color="000000" w:sz="8" w:space="0"/>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2.其他法律行政法规禁止公开</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3.危及“三安全一稳定”</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4.保护第三方合法权益</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5.属于三类内部事务信息</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6.属于四类过程性信息</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7.属于行政执法案卷</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8.属于行政查询事项</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restart"/>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9"/>
                <w:szCs w:val="29"/>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 w:right="0"/>
              <w:rPr>
                <w:color w:val="auto"/>
              </w:rPr>
            </w:pPr>
            <w:r>
              <w:rPr>
                <w:rFonts w:hint="eastAsia" w:ascii="黑体" w:hAnsi="宋体" w:eastAsia="黑体" w:cs="黑体"/>
                <w:i w:val="0"/>
                <w:iCs w:val="0"/>
                <w:caps w:val="0"/>
                <w:color w:val="auto"/>
                <w:spacing w:val="0"/>
                <w:sz w:val="21"/>
                <w:szCs w:val="21"/>
              </w:rPr>
              <w:t>（四）无法提供</w:t>
            </w: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1.本机关不掌握相关政府信息</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2.没有现成信息需要另行制作</w:t>
            </w:r>
          </w:p>
        </w:tc>
        <w:tc>
          <w:tcPr>
            <w:tcW w:w="571"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3.补正后申请内容仍不明确</w:t>
            </w:r>
          </w:p>
        </w:tc>
        <w:tc>
          <w:tcPr>
            <w:tcW w:w="571"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restart"/>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18"/>
                <w:szCs w:val="18"/>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 w:right="0"/>
              <w:rPr>
                <w:color w:val="auto"/>
              </w:rPr>
            </w:pPr>
            <w:r>
              <w:rPr>
                <w:rFonts w:hint="eastAsia" w:ascii="黑体" w:hAnsi="宋体" w:eastAsia="黑体" w:cs="黑体"/>
                <w:i w:val="0"/>
                <w:iCs w:val="0"/>
                <w:caps w:val="0"/>
                <w:color w:val="auto"/>
                <w:spacing w:val="0"/>
                <w:sz w:val="21"/>
                <w:szCs w:val="21"/>
              </w:rPr>
              <w:t>（五）不予处理</w:t>
            </w: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1.信访举报投诉类申请</w:t>
            </w:r>
          </w:p>
        </w:tc>
        <w:tc>
          <w:tcPr>
            <w:tcW w:w="571"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2.重复申请</w:t>
            </w:r>
          </w:p>
        </w:tc>
        <w:tc>
          <w:tcPr>
            <w:tcW w:w="571"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3.要求提供公开出版物</w:t>
            </w:r>
          </w:p>
        </w:tc>
        <w:tc>
          <w:tcPr>
            <w:tcW w:w="571"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4.无正当理由大量反复申请</w:t>
            </w:r>
          </w:p>
        </w:tc>
        <w:tc>
          <w:tcPr>
            <w:tcW w:w="571"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113" w:right="0"/>
              <w:jc w:val="both"/>
              <w:rPr>
                <w:color w:val="auto"/>
              </w:rPr>
            </w:pPr>
            <w:r>
              <w:rPr>
                <w:rFonts w:hint="eastAsia" w:ascii="仿宋_GB2312" w:hAnsi="微软雅黑" w:eastAsia="仿宋_GB2312" w:cs="仿宋_GB2312"/>
                <w:i w:val="0"/>
                <w:iCs w:val="0"/>
                <w:caps w:val="0"/>
                <w:color w:val="auto"/>
                <w:spacing w:val="0"/>
                <w:sz w:val="21"/>
                <w:szCs w:val="21"/>
              </w:rPr>
              <w:t>5.要求行政机关确认或重新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4" w:lineRule="atLeast"/>
              <w:ind w:left="321" w:right="0"/>
              <w:jc w:val="both"/>
              <w:rPr>
                <w:color w:val="auto"/>
              </w:rPr>
            </w:pPr>
            <w:r>
              <w:rPr>
                <w:rFonts w:hint="eastAsia" w:ascii="仿宋_GB2312" w:hAnsi="微软雅黑" w:eastAsia="仿宋_GB2312" w:cs="仿宋_GB2312"/>
                <w:i w:val="0"/>
                <w:iCs w:val="0"/>
                <w:caps w:val="0"/>
                <w:color w:val="auto"/>
                <w:spacing w:val="0"/>
                <w:sz w:val="21"/>
                <w:szCs w:val="21"/>
              </w:rPr>
              <w:t>出具已获取信息</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restart"/>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74" w:beforeAutospacing="0" w:after="0" w:afterAutospacing="0"/>
              <w:ind w:left="112" w:right="0"/>
              <w:jc w:val="both"/>
              <w:rPr>
                <w:color w:val="auto"/>
              </w:rPr>
            </w:pPr>
            <w:r>
              <w:rPr>
                <w:rFonts w:hint="eastAsia" w:ascii="黑体" w:hAnsi="宋体" w:eastAsia="黑体" w:cs="黑体"/>
                <w:i w:val="0"/>
                <w:iCs w:val="0"/>
                <w:caps w:val="0"/>
                <w:color w:val="auto"/>
                <w:spacing w:val="0"/>
                <w:sz w:val="21"/>
                <w:szCs w:val="21"/>
              </w:rPr>
              <w:t>（六）其他处理</w:t>
            </w: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197" w:right="-15" w:firstLine="0"/>
              <w:jc w:val="both"/>
              <w:rPr>
                <w:color w:val="auto"/>
              </w:rPr>
            </w:pPr>
            <w:r>
              <w:rPr>
                <w:rFonts w:hint="eastAsia" w:ascii="仿宋_GB2312" w:hAnsi="微软雅黑" w:eastAsia="仿宋_GB2312" w:cs="仿宋_GB2312"/>
                <w:i w:val="0"/>
                <w:iCs w:val="0"/>
                <w:caps w:val="0"/>
                <w:color w:val="auto"/>
                <w:spacing w:val="0"/>
                <w:sz w:val="21"/>
                <w:szCs w:val="21"/>
              </w:rPr>
              <w:t>1.</w:t>
            </w:r>
            <w:r>
              <w:rPr>
                <w:rFonts w:hint="eastAsia" w:ascii="仿宋_GB2312" w:hAnsi="微软雅黑" w:eastAsia="仿宋_GB2312" w:cs="仿宋_GB2312"/>
                <w:i w:val="0"/>
                <w:iCs w:val="0"/>
                <w:caps w:val="0"/>
                <w:color w:val="auto"/>
                <w:spacing w:val="17"/>
                <w:sz w:val="21"/>
                <w:szCs w:val="21"/>
              </w:rPr>
              <w:t>申请人无正当理由逾期不补</w:t>
            </w:r>
            <w:r>
              <w:rPr>
                <w:rFonts w:hint="eastAsia" w:ascii="仿宋_GB2312" w:hAnsi="微软雅黑" w:eastAsia="仿宋_GB2312" w:cs="仿宋_GB2312"/>
                <w:i w:val="0"/>
                <w:iCs w:val="0"/>
                <w:caps w:val="0"/>
                <w:color w:val="auto"/>
                <w:spacing w:val="0"/>
                <w:sz w:val="21"/>
                <w:szCs w:val="21"/>
              </w:rPr>
              <w:t>正、行政机关不再处理其政府信息公开申请</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210" w:right="-15" w:firstLine="0"/>
              <w:jc w:val="both"/>
              <w:rPr>
                <w:color w:val="auto"/>
              </w:rPr>
            </w:pPr>
            <w:r>
              <w:rPr>
                <w:rFonts w:hint="eastAsia" w:ascii="仿宋_GB2312" w:hAnsi="微软雅黑" w:eastAsia="仿宋_GB2312" w:cs="仿宋_GB2312"/>
                <w:i w:val="0"/>
                <w:iCs w:val="0"/>
                <w:caps w:val="0"/>
                <w:color w:val="auto"/>
                <w:spacing w:val="0"/>
                <w:sz w:val="21"/>
                <w:szCs w:val="21"/>
              </w:rPr>
              <w:t>2.申请人逾期未按收费通知要求缴纳费用、行政机关不再处理其政府信息公开申请</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0" w:right="-15" w:firstLine="210"/>
              <w:jc w:val="both"/>
              <w:rPr>
                <w:color w:val="auto"/>
              </w:rPr>
            </w:pPr>
            <w:r>
              <w:rPr>
                <w:rFonts w:hint="eastAsia" w:ascii="仿宋_GB2312" w:hAnsi="微软雅黑" w:eastAsia="仿宋_GB2312" w:cs="仿宋_GB2312"/>
                <w:i w:val="0"/>
                <w:iCs w:val="0"/>
                <w:caps w:val="0"/>
                <w:color w:val="auto"/>
                <w:spacing w:val="0"/>
                <w:sz w:val="21"/>
                <w:szCs w:val="21"/>
              </w:rPr>
              <w:t>3.其他</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4674" w:type="dxa"/>
            <w:gridSpan w:val="2"/>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0" w:right="-15"/>
              <w:jc w:val="both"/>
              <w:rPr>
                <w:color w:val="auto"/>
              </w:rPr>
            </w:pPr>
            <w:r>
              <w:rPr>
                <w:rFonts w:hint="eastAsia" w:ascii="黑体" w:hAnsi="宋体" w:eastAsia="黑体" w:cs="黑体"/>
                <w:i w:val="0"/>
                <w:iCs w:val="0"/>
                <w:caps w:val="0"/>
                <w:color w:val="auto"/>
                <w:spacing w:val="0"/>
                <w:sz w:val="21"/>
                <w:szCs w:val="21"/>
              </w:rPr>
              <w:t>（七）总计</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5</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5093" w:type="dxa"/>
            <w:gridSpan w:val="3"/>
            <w:tcBorders>
              <w:top w:val="nil"/>
              <w:left w:val="single" w:color="000000" w:sz="8" w:space="0"/>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0" w:right="-15" w:firstLine="210"/>
              <w:jc w:val="both"/>
              <w:rPr>
                <w:color w:val="auto"/>
              </w:rPr>
            </w:pPr>
            <w:r>
              <w:rPr>
                <w:rFonts w:hint="eastAsia" w:ascii="黑体" w:hAnsi="宋体" w:eastAsia="黑体" w:cs="黑体"/>
                <w:i w:val="0"/>
                <w:iCs w:val="0"/>
                <w:caps w:val="0"/>
                <w:color w:val="auto"/>
                <w:spacing w:val="0"/>
                <w:sz w:val="21"/>
                <w:szCs w:val="21"/>
              </w:rPr>
              <w:t>四、结转下年度继续办理</w:t>
            </w:r>
          </w:p>
        </w:tc>
        <w:tc>
          <w:tcPr>
            <w:tcW w:w="571"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宋体" w:eastAsia="黑体" w:cs="黑体"/>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宋体" w:eastAsia="黑体" w:cs="黑体"/>
          <w:i w:val="0"/>
          <w:iCs w:val="0"/>
          <w:caps w:val="0"/>
          <w:color w:val="auto"/>
          <w:spacing w:val="0"/>
          <w:sz w:val="32"/>
          <w:szCs w:val="32"/>
          <w:shd w:val="clear" w:fill="FFFFFF"/>
          <w:lang w:val="en-US" w:eastAsia="zh-CN"/>
        </w:rPr>
      </w:pPr>
      <w:r>
        <w:rPr>
          <w:rFonts w:hint="eastAsia" w:ascii="黑体" w:hAnsi="宋体" w:eastAsia="黑体" w:cs="黑体"/>
          <w:i w:val="0"/>
          <w:iCs w:val="0"/>
          <w:caps w:val="0"/>
          <w:color w:val="auto"/>
          <w:spacing w:val="0"/>
          <w:sz w:val="32"/>
          <w:szCs w:val="32"/>
          <w:shd w:val="clear" w:fill="FFFFFF"/>
          <w:lang w:val="en-US" w:eastAsia="zh-CN"/>
        </w:rPr>
        <w:t>四、政府信息公开行政复议、行政诉讼情况</w:t>
      </w:r>
    </w:p>
    <w:tbl>
      <w:tblPr>
        <w:tblStyle w:val="7"/>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7" w:hRule="atLeast"/>
        </w:trPr>
        <w:tc>
          <w:tcPr>
            <w:tcW w:w="3074" w:type="dxa"/>
            <w:gridSpan w:val="5"/>
            <w:tcBorders>
              <w:top w:val="single" w:color="000000" w:sz="8" w:space="0"/>
              <w:left w:val="single" w:color="000000" w:sz="8" w:space="0"/>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1116" w:right="1098"/>
              <w:jc w:val="center"/>
              <w:rPr>
                <w:color w:val="auto"/>
              </w:rPr>
            </w:pPr>
            <w:r>
              <w:rPr>
                <w:rFonts w:ascii="黑体" w:hAnsi="宋体" w:eastAsia="黑体" w:cs="黑体"/>
                <w:i w:val="0"/>
                <w:iCs w:val="0"/>
                <w:caps w:val="0"/>
                <w:color w:val="auto"/>
                <w:spacing w:val="0"/>
                <w:sz w:val="20"/>
                <w:szCs w:val="20"/>
              </w:rPr>
              <w:t>行政复议</w:t>
            </w:r>
          </w:p>
        </w:tc>
        <w:tc>
          <w:tcPr>
            <w:tcW w:w="5997" w:type="dxa"/>
            <w:gridSpan w:val="10"/>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2575" w:right="2561"/>
              <w:jc w:val="center"/>
              <w:rPr>
                <w:color w:val="auto"/>
              </w:rPr>
            </w:pPr>
            <w:r>
              <w:rPr>
                <w:rFonts w:hint="eastAsia" w:ascii="黑体" w:hAnsi="宋体" w:eastAsia="黑体" w:cs="黑体"/>
                <w:i w:val="0"/>
                <w:iCs w:val="0"/>
                <w:caps w:val="0"/>
                <w:color w:val="auto"/>
                <w:spacing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trPr>
        <w:tc>
          <w:tcPr>
            <w:tcW w:w="604" w:type="dxa"/>
            <w:vMerge w:val="restart"/>
            <w:tcBorders>
              <w:top w:val="nil"/>
              <w:left w:val="single" w:color="000000" w:sz="8" w:space="0"/>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0" w:right="0"/>
              <w:rPr>
                <w:color w:val="auto"/>
              </w:rPr>
            </w:pPr>
            <w:r>
              <w:rPr>
                <w:rFonts w:ascii="Arial Unicode MS" w:hAnsi="Arial Unicode MS" w:eastAsia="Arial Unicode MS" w:cs="Arial Unicode MS"/>
                <w:i w:val="0"/>
                <w:iCs w:val="0"/>
                <w:caps w:val="0"/>
                <w:color w:val="auto"/>
                <w:spacing w:val="0"/>
                <w:sz w:val="25"/>
                <w:szCs w:val="25"/>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11" w:right="71"/>
              <w:rPr>
                <w:color w:val="auto"/>
              </w:rPr>
            </w:pPr>
            <w:r>
              <w:rPr>
                <w:rFonts w:hint="eastAsia" w:ascii="黑体" w:hAnsi="宋体" w:eastAsia="黑体" w:cs="黑体"/>
                <w:i w:val="0"/>
                <w:iCs w:val="0"/>
                <w:caps w:val="0"/>
                <w:color w:val="auto"/>
                <w:spacing w:val="0"/>
                <w:sz w:val="20"/>
                <w:szCs w:val="20"/>
              </w:rPr>
              <w:t>结果维持</w:t>
            </w:r>
          </w:p>
        </w:tc>
        <w:tc>
          <w:tcPr>
            <w:tcW w:w="604" w:type="dxa"/>
            <w:vMerge w:val="restart"/>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5"/>
                <w:szCs w:val="25"/>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46" w:right="37"/>
              <w:rPr>
                <w:color w:val="auto"/>
              </w:rPr>
            </w:pPr>
            <w:r>
              <w:rPr>
                <w:rFonts w:hint="eastAsia" w:ascii="黑体" w:hAnsi="宋体" w:eastAsia="黑体" w:cs="黑体"/>
                <w:i w:val="0"/>
                <w:iCs w:val="0"/>
                <w:caps w:val="0"/>
                <w:color w:val="auto"/>
                <w:spacing w:val="0"/>
                <w:sz w:val="20"/>
                <w:szCs w:val="20"/>
              </w:rPr>
              <w:t>结果纠正</w:t>
            </w:r>
          </w:p>
        </w:tc>
        <w:tc>
          <w:tcPr>
            <w:tcW w:w="604" w:type="dxa"/>
            <w:vMerge w:val="restart"/>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5"/>
                <w:szCs w:val="25"/>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08" w:right="75"/>
              <w:rPr>
                <w:color w:val="auto"/>
              </w:rPr>
            </w:pPr>
            <w:r>
              <w:rPr>
                <w:rFonts w:hint="eastAsia" w:ascii="黑体" w:hAnsi="宋体" w:eastAsia="黑体" w:cs="黑体"/>
                <w:i w:val="0"/>
                <w:iCs w:val="0"/>
                <w:caps w:val="0"/>
                <w:color w:val="auto"/>
                <w:spacing w:val="0"/>
                <w:sz w:val="20"/>
                <w:szCs w:val="20"/>
              </w:rPr>
              <w:t>其他结果</w:t>
            </w:r>
          </w:p>
        </w:tc>
        <w:tc>
          <w:tcPr>
            <w:tcW w:w="604" w:type="dxa"/>
            <w:vMerge w:val="restart"/>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5"/>
                <w:szCs w:val="25"/>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02" w:right="81"/>
              <w:rPr>
                <w:color w:val="auto"/>
              </w:rPr>
            </w:pPr>
            <w:r>
              <w:rPr>
                <w:rFonts w:hint="eastAsia" w:ascii="黑体" w:hAnsi="宋体" w:eastAsia="黑体" w:cs="黑体"/>
                <w:i w:val="0"/>
                <w:iCs w:val="0"/>
                <w:caps w:val="0"/>
                <w:color w:val="auto"/>
                <w:spacing w:val="0"/>
                <w:sz w:val="20"/>
                <w:szCs w:val="20"/>
              </w:rPr>
              <w:t>尚未审结</w:t>
            </w:r>
          </w:p>
        </w:tc>
        <w:tc>
          <w:tcPr>
            <w:tcW w:w="658" w:type="dxa"/>
            <w:vMerge w:val="restart"/>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8" w:right="210"/>
              <w:rPr>
                <w:color w:val="auto"/>
              </w:rPr>
            </w:pPr>
            <w:r>
              <w:rPr>
                <w:rFonts w:hint="eastAsia" w:ascii="黑体" w:hAnsi="宋体" w:eastAsia="黑体" w:cs="黑体"/>
                <w:i w:val="0"/>
                <w:iCs w:val="0"/>
                <w:caps w:val="0"/>
                <w:color w:val="auto"/>
                <w:spacing w:val="0"/>
                <w:sz w:val="20"/>
                <w:szCs w:val="20"/>
              </w:rPr>
              <w:t>总计</w:t>
            </w:r>
          </w:p>
        </w:tc>
        <w:tc>
          <w:tcPr>
            <w:tcW w:w="2970" w:type="dxa"/>
            <w:gridSpan w:val="5"/>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ind w:left="683" w:right="0"/>
              <w:rPr>
                <w:color w:val="auto"/>
              </w:rPr>
            </w:pPr>
            <w:r>
              <w:rPr>
                <w:rFonts w:hint="eastAsia" w:ascii="黑体" w:hAnsi="宋体" w:eastAsia="黑体" w:cs="黑体"/>
                <w:i w:val="0"/>
                <w:iCs w:val="0"/>
                <w:caps w:val="0"/>
                <w:color w:val="auto"/>
                <w:spacing w:val="0"/>
                <w:sz w:val="20"/>
                <w:szCs w:val="20"/>
              </w:rPr>
              <w:t>未经复议直接起诉</w:t>
            </w:r>
          </w:p>
        </w:tc>
        <w:tc>
          <w:tcPr>
            <w:tcW w:w="3027" w:type="dxa"/>
            <w:gridSpan w:val="5"/>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ind w:left="1013" w:right="0"/>
              <w:rPr>
                <w:color w:val="auto"/>
              </w:rPr>
            </w:pPr>
            <w:r>
              <w:rPr>
                <w:rFonts w:hint="eastAsia" w:ascii="黑体" w:hAnsi="宋体" w:eastAsia="黑体" w:cs="黑体"/>
                <w:i w:val="0"/>
                <w:iCs w:val="0"/>
                <w:caps w:val="0"/>
                <w:color w:val="auto"/>
                <w:spacing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04"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04" w:type="dxa"/>
            <w:vMerge w:val="continue"/>
            <w:tcBorders>
              <w:top w:val="single" w:color="000000" w:sz="8" w:space="0"/>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04" w:type="dxa"/>
            <w:vMerge w:val="continue"/>
            <w:tcBorders>
              <w:top w:val="single" w:color="000000" w:sz="8" w:space="0"/>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58" w:type="dxa"/>
            <w:vMerge w:val="continue"/>
            <w:tcBorders>
              <w:top w:val="single" w:color="000000" w:sz="8" w:space="0"/>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550"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83" w:right="46"/>
              <w:rPr>
                <w:color w:val="auto"/>
              </w:rPr>
            </w:pPr>
            <w:r>
              <w:rPr>
                <w:rFonts w:hint="eastAsia" w:ascii="黑体" w:hAnsi="宋体" w:eastAsia="黑体" w:cs="黑体"/>
                <w:i w:val="0"/>
                <w:iCs w:val="0"/>
                <w:caps w:val="0"/>
                <w:color w:val="auto"/>
                <w:spacing w:val="0"/>
                <w:sz w:val="20"/>
                <w:szCs w:val="20"/>
              </w:rPr>
              <w:t>结果维持</w:t>
            </w:r>
          </w:p>
        </w:tc>
        <w:tc>
          <w:tcPr>
            <w:tcW w:w="605" w:type="dxa"/>
            <w:tcBorders>
              <w:top w:val="nil"/>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102" w:right="82"/>
              <w:rPr>
                <w:color w:val="auto"/>
              </w:rPr>
            </w:pPr>
            <w:r>
              <w:rPr>
                <w:rFonts w:hint="eastAsia" w:ascii="黑体" w:hAnsi="宋体" w:eastAsia="黑体" w:cs="黑体"/>
                <w:i w:val="0"/>
                <w:iCs w:val="0"/>
                <w:caps w:val="0"/>
                <w:color w:val="auto"/>
                <w:spacing w:val="0"/>
                <w:sz w:val="20"/>
                <w:szCs w:val="20"/>
              </w:rPr>
              <w:t>结果纠正</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107" w:right="77"/>
              <w:rPr>
                <w:color w:val="auto"/>
              </w:rPr>
            </w:pPr>
            <w:r>
              <w:rPr>
                <w:rFonts w:hint="eastAsia" w:ascii="黑体" w:hAnsi="宋体" w:eastAsia="黑体" w:cs="黑体"/>
                <w:i w:val="0"/>
                <w:iCs w:val="0"/>
                <w:caps w:val="0"/>
                <w:color w:val="auto"/>
                <w:spacing w:val="0"/>
                <w:sz w:val="20"/>
                <w:szCs w:val="20"/>
              </w:rPr>
              <w:t>其他结果</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97" w:right="87"/>
              <w:rPr>
                <w:color w:val="auto"/>
              </w:rPr>
            </w:pPr>
            <w:r>
              <w:rPr>
                <w:rFonts w:hint="eastAsia" w:ascii="黑体" w:hAnsi="宋体" w:eastAsia="黑体" w:cs="黑体"/>
                <w:i w:val="0"/>
                <w:iCs w:val="0"/>
                <w:caps w:val="0"/>
                <w:color w:val="auto"/>
                <w:spacing w:val="0"/>
                <w:sz w:val="20"/>
                <w:szCs w:val="20"/>
              </w:rPr>
              <w:t>尚未审结</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202" w:right="181"/>
              <w:rPr>
                <w:color w:val="auto"/>
              </w:rPr>
            </w:pPr>
            <w:r>
              <w:rPr>
                <w:rFonts w:hint="eastAsia" w:ascii="黑体" w:hAnsi="宋体" w:eastAsia="黑体" w:cs="黑体"/>
                <w:i w:val="0"/>
                <w:iCs w:val="0"/>
                <w:caps w:val="0"/>
                <w:color w:val="auto"/>
                <w:spacing w:val="0"/>
                <w:sz w:val="20"/>
                <w:szCs w:val="20"/>
              </w:rPr>
              <w:t>总计</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92" w:right="92"/>
              <w:rPr>
                <w:color w:val="auto"/>
              </w:rPr>
            </w:pPr>
            <w:r>
              <w:rPr>
                <w:rFonts w:hint="eastAsia" w:ascii="黑体" w:hAnsi="宋体" w:eastAsia="黑体" w:cs="黑体"/>
                <w:i w:val="0"/>
                <w:iCs w:val="0"/>
                <w:caps w:val="0"/>
                <w:color w:val="auto"/>
                <w:spacing w:val="0"/>
                <w:sz w:val="20"/>
                <w:szCs w:val="20"/>
              </w:rPr>
              <w:t>结果维持</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96" w:right="88"/>
              <w:rPr>
                <w:color w:val="auto"/>
              </w:rPr>
            </w:pPr>
            <w:r>
              <w:rPr>
                <w:rFonts w:hint="eastAsia" w:ascii="黑体" w:hAnsi="宋体" w:eastAsia="黑体" w:cs="黑体"/>
                <w:i w:val="0"/>
                <w:iCs w:val="0"/>
                <w:caps w:val="0"/>
                <w:color w:val="auto"/>
                <w:spacing w:val="0"/>
                <w:sz w:val="20"/>
                <w:szCs w:val="20"/>
              </w:rPr>
              <w:t>结果纠正</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82" w:right="102"/>
              <w:rPr>
                <w:color w:val="auto"/>
              </w:rPr>
            </w:pPr>
            <w:r>
              <w:rPr>
                <w:rFonts w:hint="eastAsia" w:ascii="黑体" w:hAnsi="宋体" w:eastAsia="黑体" w:cs="黑体"/>
                <w:i w:val="0"/>
                <w:iCs w:val="0"/>
                <w:caps w:val="0"/>
                <w:color w:val="auto"/>
                <w:spacing w:val="0"/>
                <w:sz w:val="20"/>
                <w:szCs w:val="20"/>
              </w:rPr>
              <w:t>其他结果</w:t>
            </w:r>
          </w:p>
        </w:tc>
        <w:tc>
          <w:tcPr>
            <w:tcW w:w="606"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122" w:right="63" w:hanging="3"/>
              <w:rPr>
                <w:color w:val="auto"/>
              </w:rPr>
            </w:pPr>
            <w:r>
              <w:rPr>
                <w:rFonts w:hint="eastAsia" w:ascii="黑体" w:hAnsi="宋体" w:eastAsia="黑体" w:cs="黑体"/>
                <w:i w:val="0"/>
                <w:iCs w:val="0"/>
                <w:caps w:val="0"/>
                <w:color w:val="auto"/>
                <w:spacing w:val="0"/>
                <w:sz w:val="20"/>
                <w:szCs w:val="20"/>
              </w:rPr>
              <w:t>尚未审结</w:t>
            </w:r>
          </w:p>
        </w:tc>
        <w:tc>
          <w:tcPr>
            <w:tcW w:w="606" w:type="dxa"/>
            <w:tcBorders>
              <w:top w:val="single" w:color="000000" w:sz="8" w:space="0"/>
              <w:left w:val="nil"/>
              <w:bottom w:val="single" w:color="000000" w:sz="8" w:space="0"/>
              <w:right w:val="single" w:color="000000" w:sz="8" w:space="0"/>
            </w:tcBorders>
            <w:shd w:val="clear" w:color="auto" w:fill="FFFFFF"/>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203" w:right="183"/>
              <w:rPr>
                <w:color w:val="auto"/>
              </w:rPr>
            </w:pPr>
            <w:r>
              <w:rPr>
                <w:rFonts w:hint="eastAsia" w:ascii="黑体" w:hAnsi="宋体" w:eastAsia="黑体" w:cs="黑体"/>
                <w:i w:val="0"/>
                <w:iCs w:val="0"/>
                <w:caps w:val="0"/>
                <w:color w:val="auto"/>
                <w:spacing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1" w:hRule="atLeast"/>
        </w:trPr>
        <w:tc>
          <w:tcPr>
            <w:tcW w:w="604" w:type="dxa"/>
            <w:tcBorders>
              <w:top w:val="nil"/>
              <w:left w:val="single" w:color="000000" w:sz="8" w:space="0"/>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6"/>
                <w:szCs w:val="26"/>
                <w:lang w:val="en-US" w:eastAsia="zh-CN"/>
              </w:rPr>
              <w:t>0</w:t>
            </w:r>
          </w:p>
        </w:tc>
        <w:tc>
          <w:tcPr>
            <w:tcW w:w="604"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4"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4"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6"/>
                <w:szCs w:val="26"/>
                <w:lang w:val="en-US" w:eastAsia="zh-CN"/>
              </w:rPr>
              <w:t>0</w:t>
            </w:r>
          </w:p>
        </w:tc>
        <w:tc>
          <w:tcPr>
            <w:tcW w:w="658"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6"/>
                <w:szCs w:val="26"/>
                <w:lang w:val="en-US" w:eastAsia="zh-CN"/>
              </w:rPr>
              <w:t>0</w:t>
            </w:r>
          </w:p>
        </w:tc>
        <w:tc>
          <w:tcPr>
            <w:tcW w:w="550"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6" w:type="dxa"/>
            <w:tcBorders>
              <w:top w:val="nil"/>
              <w:left w:val="nil"/>
              <w:bottom w:val="single" w:color="000000" w:sz="8" w:space="0"/>
              <w:right w:val="single" w:color="000000" w:sz="8"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宋体" w:eastAsia="黑体" w:cs="黑体"/>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宋体" w:eastAsia="黑体" w:cs="黑体"/>
          <w:i w:val="0"/>
          <w:iCs w:val="0"/>
          <w:caps w:val="0"/>
          <w:color w:val="auto"/>
          <w:spacing w:val="0"/>
          <w:sz w:val="32"/>
          <w:szCs w:val="32"/>
          <w:highlight w:val="none"/>
          <w:shd w:val="clear" w:fill="FFFFFF"/>
          <w:lang w:val="en-US" w:eastAsia="zh-CN"/>
        </w:rPr>
      </w:pPr>
      <w:r>
        <w:rPr>
          <w:rFonts w:hint="eastAsia" w:ascii="黑体" w:hAnsi="宋体" w:eastAsia="黑体" w:cs="黑体"/>
          <w:i w:val="0"/>
          <w:iCs w:val="0"/>
          <w:caps w:val="0"/>
          <w:color w:val="auto"/>
          <w:spacing w:val="0"/>
          <w:sz w:val="32"/>
          <w:szCs w:val="32"/>
          <w:highlight w:val="none"/>
          <w:shd w:val="clear" w:fill="FFFFFF"/>
          <w:lang w:val="en-US" w:eastAsia="zh-CN"/>
        </w:rPr>
        <w:t>五、政府信息公开工作存在的主要问题及改进情况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（一）存在问题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auto"/>
          <w:spacing w:val="0"/>
          <w:sz w:val="32"/>
          <w:szCs w:val="32"/>
          <w:highlight w:val="yellow"/>
          <w:shd w:val="clear" w:fill="FFFFFF"/>
          <w:lang w:val="en-US" w:eastAsia="zh-CN"/>
        </w:rPr>
      </w:pPr>
      <w:r>
        <w:rPr>
          <w:rFonts w:ascii="仿宋_GB2312" w:hAnsi="宋体" w:eastAsia="仿宋_GB2312" w:cs="仿宋_GB2312"/>
          <w:i w:val="0"/>
          <w:iCs w:val="0"/>
          <w:caps w:val="0"/>
          <w:color w:val="auto"/>
          <w:spacing w:val="0"/>
          <w:sz w:val="32"/>
          <w:szCs w:val="32"/>
          <w:highlight w:val="none"/>
          <w:shd w:val="clear" w:fill="FFFFFF"/>
        </w:rPr>
        <w:t>202</w:t>
      </w:r>
      <w:r>
        <w:rPr>
          <w:rFonts w:hint="eastAsia" w:ascii="仿宋_GB2312" w:hAnsi="宋体" w:eastAsia="仿宋_GB2312" w:cs="仿宋_GB2312"/>
          <w:i w:val="0"/>
          <w:iCs w:val="0"/>
          <w:caps w:val="0"/>
          <w:color w:val="auto"/>
          <w:spacing w:val="0"/>
          <w:sz w:val="32"/>
          <w:szCs w:val="32"/>
          <w:highlight w:val="none"/>
          <w:shd w:val="clear" w:fill="FFFFFF"/>
          <w:lang w:val="en-US" w:eastAsia="zh-CN"/>
        </w:rPr>
        <w:t>3</w:t>
      </w:r>
      <w:r>
        <w:rPr>
          <w:rFonts w:hint="eastAsia" w:ascii="仿宋_GB2312" w:hAnsi="宋体"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淄博市公共资源交易中心在</w:t>
      </w:r>
      <w:r>
        <w:rPr>
          <w:rFonts w:hint="eastAsia" w:ascii="仿宋_GB2312" w:hAnsi="宋体" w:eastAsia="仿宋_GB2312" w:cs="仿宋_GB2312"/>
          <w:i w:val="0"/>
          <w:iCs w:val="0"/>
          <w:caps w:val="0"/>
          <w:color w:val="auto"/>
          <w:spacing w:val="0"/>
          <w:sz w:val="32"/>
          <w:szCs w:val="32"/>
          <w:highlight w:val="none"/>
          <w:shd w:val="clear" w:fill="FFFFFF"/>
        </w:rPr>
        <w:t>政府信息公开工作</w:t>
      </w:r>
      <w:r>
        <w:rPr>
          <w:rFonts w:hint="eastAsia" w:ascii="仿宋_GB2312" w:hAnsi="宋体" w:eastAsia="仿宋_GB2312" w:cs="仿宋_GB2312"/>
          <w:i w:val="0"/>
          <w:iCs w:val="0"/>
          <w:caps w:val="0"/>
          <w:color w:val="auto"/>
          <w:spacing w:val="0"/>
          <w:sz w:val="32"/>
          <w:szCs w:val="32"/>
          <w:highlight w:val="none"/>
          <w:shd w:val="clear" w:fill="FFFFFF"/>
          <w:lang w:val="en-US" w:eastAsia="zh-CN"/>
        </w:rPr>
        <w:t>中取得了一定成效</w:t>
      </w:r>
      <w:r>
        <w:rPr>
          <w:rFonts w:hint="eastAsia" w:ascii="仿宋_GB2312" w:hAnsi="宋体" w:eastAsia="仿宋_GB2312" w:cs="仿宋_GB2312"/>
          <w:i w:val="0"/>
          <w:iCs w:val="0"/>
          <w:caps w:val="0"/>
          <w:color w:val="auto"/>
          <w:spacing w:val="0"/>
          <w:sz w:val="32"/>
          <w:szCs w:val="32"/>
          <w:highlight w:val="none"/>
          <w:shd w:val="clear" w:fill="FFFFFF"/>
        </w:rPr>
        <w:t>，但</w:t>
      </w:r>
      <w:r>
        <w:rPr>
          <w:rFonts w:hint="eastAsia" w:ascii="仿宋_GB2312" w:hAnsi="宋体" w:eastAsia="仿宋_GB2312" w:cs="仿宋_GB2312"/>
          <w:i w:val="0"/>
          <w:iCs w:val="0"/>
          <w:caps w:val="0"/>
          <w:color w:val="auto"/>
          <w:spacing w:val="0"/>
          <w:sz w:val="32"/>
          <w:szCs w:val="32"/>
          <w:highlight w:val="none"/>
          <w:shd w:val="clear" w:fill="FFFFFF"/>
          <w:lang w:val="en-US" w:eastAsia="zh-CN"/>
        </w:rPr>
        <w:t>也</w:t>
      </w:r>
      <w:r>
        <w:rPr>
          <w:rFonts w:hint="eastAsia" w:ascii="仿宋_GB2312" w:hAnsi="宋体" w:eastAsia="仿宋_GB2312" w:cs="仿宋_GB2312"/>
          <w:i w:val="0"/>
          <w:iCs w:val="0"/>
          <w:caps w:val="0"/>
          <w:color w:val="auto"/>
          <w:spacing w:val="0"/>
          <w:sz w:val="32"/>
          <w:szCs w:val="32"/>
          <w:highlight w:val="none"/>
          <w:shd w:val="clear" w:fill="FFFFFF"/>
        </w:rPr>
        <w:t>存在</w:t>
      </w:r>
      <w:r>
        <w:rPr>
          <w:rFonts w:hint="eastAsia" w:ascii="仿宋_GB2312" w:hAnsi="宋体" w:eastAsia="仿宋_GB2312" w:cs="仿宋_GB2312"/>
          <w:i w:val="0"/>
          <w:iCs w:val="0"/>
          <w:caps w:val="0"/>
          <w:color w:val="auto"/>
          <w:spacing w:val="0"/>
          <w:sz w:val="32"/>
          <w:szCs w:val="32"/>
          <w:highlight w:val="none"/>
          <w:shd w:val="clear" w:fill="FFFFFF"/>
          <w:lang w:val="en-US" w:eastAsia="zh-CN"/>
        </w:rPr>
        <w:t>一些问题：主要是政策解读形式还需进一步丰富。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改进情况</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Segoe UI"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Segoe UI" w:eastAsia="仿宋_GB2312" w:cs="仿宋_GB2312"/>
          <w:i w:val="0"/>
          <w:iCs w:val="0"/>
          <w:caps w:val="0"/>
          <w:color w:val="auto"/>
          <w:spacing w:val="0"/>
          <w:kern w:val="0"/>
          <w:sz w:val="32"/>
          <w:szCs w:val="32"/>
          <w:highlight w:val="none"/>
          <w:shd w:val="clear" w:fill="FFFFFF"/>
          <w:lang w:val="en-US" w:eastAsia="zh-CN" w:bidi="ar"/>
        </w:rPr>
        <w:t>通过召开政务公开工作会议、借鉴其他单位先进做法等，进一步拓展政务公开工作思路，探索增加可视化内容、建立反馈机制、制作宣传资料、加强与媒体合作等方式，进一步提升政策的传播效果和影响力。</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六、其他需要报告的事项</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Segoe UI" w:eastAsia="仿宋_GB2312" w:cs="仿宋_GB2312"/>
          <w:i w:val="0"/>
          <w:iCs w:val="0"/>
          <w:caps w:val="0"/>
          <w:color w:val="auto"/>
          <w:spacing w:val="0"/>
          <w:sz w:val="32"/>
          <w:szCs w:val="32"/>
          <w:highlight w:val="none"/>
          <w:shd w:val="clear" w:fill="FFFFFF"/>
        </w:rPr>
      </w:pPr>
      <w:r>
        <w:rPr>
          <w:rFonts w:hint="eastAsia" w:ascii="楷体_GB2312" w:hAnsi="Segoe UI" w:eastAsia="楷体_GB2312" w:cs="楷体_GB2312"/>
          <w:i w:val="0"/>
          <w:iCs w:val="0"/>
          <w:caps w:val="0"/>
          <w:color w:val="auto"/>
          <w:spacing w:val="0"/>
          <w:sz w:val="32"/>
          <w:szCs w:val="32"/>
          <w:highlight w:val="none"/>
          <w:shd w:val="clear" w:fill="FFFFFF"/>
          <w:lang w:val="en-US" w:eastAsia="zh-CN"/>
        </w:rPr>
        <w:t>（一）依申请</w:t>
      </w:r>
      <w:r>
        <w:rPr>
          <w:rFonts w:hint="eastAsia" w:ascii="楷体_GB2312" w:hAnsi="Segoe UI" w:eastAsia="楷体_GB2312" w:cs="楷体_GB2312"/>
          <w:i w:val="0"/>
          <w:iCs w:val="0"/>
          <w:caps w:val="0"/>
          <w:color w:val="auto"/>
          <w:spacing w:val="0"/>
          <w:sz w:val="32"/>
          <w:szCs w:val="32"/>
          <w:highlight w:val="none"/>
          <w:shd w:val="clear" w:fill="FFFFFF"/>
        </w:rPr>
        <w:t>公开信息处理费</w:t>
      </w:r>
      <w:r>
        <w:rPr>
          <w:rFonts w:hint="eastAsia" w:ascii="楷体_GB2312" w:hAnsi="Segoe UI" w:eastAsia="楷体_GB2312" w:cs="楷体_GB2312"/>
          <w:i w:val="0"/>
          <w:iCs w:val="0"/>
          <w:caps w:val="0"/>
          <w:color w:val="auto"/>
          <w:spacing w:val="0"/>
          <w:sz w:val="32"/>
          <w:szCs w:val="32"/>
          <w:highlight w:val="none"/>
          <w:shd w:val="clear" w:fill="FFFFFF"/>
          <w:lang w:val="en-US" w:eastAsia="zh-CN"/>
        </w:rPr>
        <w:t>收费</w:t>
      </w:r>
      <w:r>
        <w:rPr>
          <w:rFonts w:hint="eastAsia" w:ascii="楷体_GB2312" w:hAnsi="Segoe UI" w:eastAsia="楷体_GB2312" w:cs="楷体_GB2312"/>
          <w:i w:val="0"/>
          <w:iCs w:val="0"/>
          <w:caps w:val="0"/>
          <w:color w:val="auto"/>
          <w:spacing w:val="0"/>
          <w:sz w:val="32"/>
          <w:szCs w:val="32"/>
          <w:highlight w:val="none"/>
          <w:shd w:val="clear" w:fill="FFFFFF"/>
        </w:rPr>
        <w:t>情况。</w:t>
      </w:r>
      <w:r>
        <w:rPr>
          <w:rFonts w:hint="eastAsia" w:ascii="仿宋_GB2312" w:hAnsi="Segoe UI" w:eastAsia="仿宋_GB2312" w:cs="仿宋_GB2312"/>
          <w:i w:val="0"/>
          <w:iCs w:val="0"/>
          <w:caps w:val="0"/>
          <w:color w:val="auto"/>
          <w:spacing w:val="0"/>
          <w:sz w:val="32"/>
          <w:szCs w:val="32"/>
          <w:highlight w:val="none"/>
          <w:shd w:val="clear" w:fill="FFFFFF"/>
        </w:rPr>
        <w:t>市公共资源交易平台属</w:t>
      </w:r>
      <w:r>
        <w:rPr>
          <w:rFonts w:hint="eastAsia" w:ascii="仿宋_GB2312" w:hAnsi="Segoe UI" w:eastAsia="仿宋_GB2312" w:cs="仿宋_GB2312"/>
          <w:i w:val="0"/>
          <w:iCs w:val="0"/>
          <w:caps w:val="0"/>
          <w:color w:val="auto"/>
          <w:spacing w:val="0"/>
          <w:sz w:val="32"/>
          <w:szCs w:val="32"/>
          <w:highlight w:val="none"/>
          <w:shd w:val="clear" w:fill="FFFFFF"/>
          <w:lang w:val="en-US" w:eastAsia="zh-CN"/>
        </w:rPr>
        <w:t>于</w:t>
      </w:r>
      <w:r>
        <w:rPr>
          <w:rFonts w:hint="eastAsia" w:ascii="仿宋_GB2312" w:hAnsi="Segoe UI" w:eastAsia="仿宋_GB2312" w:cs="仿宋_GB2312"/>
          <w:i w:val="0"/>
          <w:iCs w:val="0"/>
          <w:caps w:val="0"/>
          <w:color w:val="auto"/>
          <w:spacing w:val="0"/>
          <w:sz w:val="32"/>
          <w:szCs w:val="32"/>
          <w:highlight w:val="none"/>
          <w:shd w:val="clear" w:fill="FFFFFF"/>
        </w:rPr>
        <w:t>公益类服务平台，因此不存在政府信息公开需交易中心办理的信息公开收费及减免情况。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Segoe UI" w:eastAsia="仿宋_GB2312" w:cs="仿宋_GB2312"/>
          <w:i w:val="0"/>
          <w:iCs w:val="0"/>
          <w:caps w:val="0"/>
          <w:color w:val="auto"/>
          <w:spacing w:val="0"/>
          <w:sz w:val="32"/>
          <w:szCs w:val="32"/>
          <w:highlight w:val="none"/>
          <w:shd w:val="clear" w:fill="FFFFFF"/>
          <w:lang w:eastAsia="zh-CN"/>
        </w:rPr>
      </w:pPr>
      <w:r>
        <w:rPr>
          <w:rFonts w:hint="eastAsia" w:ascii="楷体_GB2312" w:hAnsi="Segoe UI" w:eastAsia="楷体_GB2312" w:cs="楷体_GB2312"/>
          <w:i w:val="0"/>
          <w:iCs w:val="0"/>
          <w:caps w:val="0"/>
          <w:color w:val="auto"/>
          <w:spacing w:val="0"/>
          <w:sz w:val="32"/>
          <w:szCs w:val="32"/>
          <w:highlight w:val="none"/>
          <w:shd w:val="clear" w:fill="FFFFFF"/>
        </w:rPr>
        <w:t>（二）人大代表建议和政协提案办理情况。</w:t>
      </w:r>
      <w:r>
        <w:rPr>
          <w:rFonts w:hint="eastAsia" w:ascii="仿宋_GB2312" w:hAnsi="Segoe UI" w:eastAsia="仿宋_GB2312" w:cs="仿宋_GB2312"/>
          <w:i w:val="0"/>
          <w:iCs w:val="0"/>
          <w:caps w:val="0"/>
          <w:color w:val="auto"/>
          <w:spacing w:val="0"/>
          <w:sz w:val="32"/>
          <w:szCs w:val="32"/>
          <w:highlight w:val="none"/>
          <w:shd w:val="clear" w:fill="FFFFFF"/>
        </w:rPr>
        <w:t>202</w:t>
      </w:r>
      <w:r>
        <w:rPr>
          <w:rFonts w:hint="eastAsia" w:ascii="仿宋_GB2312" w:hAnsi="Segoe UI" w:eastAsia="仿宋_GB2312" w:cs="仿宋_GB2312"/>
          <w:i w:val="0"/>
          <w:iCs w:val="0"/>
          <w:caps w:val="0"/>
          <w:color w:val="auto"/>
          <w:spacing w:val="0"/>
          <w:sz w:val="32"/>
          <w:szCs w:val="32"/>
          <w:highlight w:val="none"/>
          <w:shd w:val="clear" w:fill="FFFFFF"/>
          <w:lang w:val="en-US" w:eastAsia="zh-CN"/>
        </w:rPr>
        <w:t>3</w:t>
      </w:r>
      <w:r>
        <w:rPr>
          <w:rFonts w:hint="eastAsia" w:ascii="仿宋_GB2312" w:hAnsi="Segoe UI" w:eastAsia="仿宋_GB2312" w:cs="仿宋_GB2312"/>
          <w:i w:val="0"/>
          <w:iCs w:val="0"/>
          <w:caps w:val="0"/>
          <w:color w:val="auto"/>
          <w:spacing w:val="0"/>
          <w:sz w:val="32"/>
          <w:szCs w:val="32"/>
          <w:highlight w:val="none"/>
          <w:shd w:val="clear" w:fill="FFFFFF"/>
        </w:rPr>
        <w:t>年市公共资源交易中心</w:t>
      </w:r>
      <w:r>
        <w:rPr>
          <w:rFonts w:hint="eastAsia" w:ascii="仿宋_GB2312" w:hAnsi="Segoe UI" w:eastAsia="仿宋_GB2312" w:cs="仿宋_GB2312"/>
          <w:i w:val="0"/>
          <w:iCs w:val="0"/>
          <w:caps w:val="0"/>
          <w:color w:val="auto"/>
          <w:spacing w:val="0"/>
          <w:sz w:val="32"/>
          <w:szCs w:val="32"/>
          <w:highlight w:val="none"/>
          <w:shd w:val="clear" w:fill="FFFFFF"/>
          <w:lang w:eastAsia="zh-CN"/>
        </w:rPr>
        <w:t>未</w:t>
      </w:r>
      <w:r>
        <w:rPr>
          <w:rFonts w:hint="eastAsia" w:ascii="仿宋_GB2312" w:hAnsi="Segoe UI" w:eastAsia="仿宋_GB2312" w:cs="仿宋_GB2312"/>
          <w:i w:val="0"/>
          <w:iCs w:val="0"/>
          <w:caps w:val="0"/>
          <w:color w:val="auto"/>
          <w:spacing w:val="0"/>
          <w:sz w:val="32"/>
          <w:szCs w:val="32"/>
          <w:highlight w:val="none"/>
          <w:shd w:val="clear" w:fill="FFFFFF"/>
        </w:rPr>
        <w:t>接收</w:t>
      </w:r>
      <w:r>
        <w:rPr>
          <w:rFonts w:hint="eastAsia" w:ascii="仿宋_GB2312" w:hAnsi="Segoe UI" w:eastAsia="仿宋_GB2312" w:cs="仿宋_GB2312"/>
          <w:i w:val="0"/>
          <w:iCs w:val="0"/>
          <w:caps w:val="0"/>
          <w:color w:val="auto"/>
          <w:spacing w:val="0"/>
          <w:sz w:val="32"/>
          <w:szCs w:val="32"/>
          <w:highlight w:val="none"/>
          <w:shd w:val="clear" w:fill="FFFFFF"/>
          <w:lang w:eastAsia="zh-CN"/>
        </w:rPr>
        <w:t>到人大代表建议和政协提案。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Segoe UI" w:eastAsia="仿宋_GB2312" w:cs="仿宋_GB2312"/>
          <w:i w:val="0"/>
          <w:iCs w:val="0"/>
          <w:caps w:val="0"/>
          <w:color w:val="auto"/>
          <w:spacing w:val="0"/>
          <w:kern w:val="0"/>
          <w:sz w:val="32"/>
          <w:szCs w:val="32"/>
          <w:highlight w:val="none"/>
          <w:shd w:val="clear" w:fill="FFFFFF"/>
          <w:lang w:val="en-US" w:eastAsia="zh-CN" w:bidi="ar"/>
        </w:rPr>
      </w:pPr>
      <w:r>
        <w:rPr>
          <w:rFonts w:hint="eastAsia" w:ascii="楷体_GB2312" w:hAnsi="Segoe UI" w:eastAsia="楷体_GB2312" w:cs="楷体_GB2312"/>
          <w:i w:val="0"/>
          <w:iCs w:val="0"/>
          <w:caps w:val="0"/>
          <w:color w:val="auto"/>
          <w:spacing w:val="0"/>
          <w:kern w:val="0"/>
          <w:sz w:val="32"/>
          <w:szCs w:val="32"/>
          <w:highlight w:val="none"/>
          <w:shd w:val="clear" w:fill="FFFFFF"/>
          <w:lang w:val="en-US" w:eastAsia="zh-CN" w:bidi="ar"/>
        </w:rPr>
        <w:t>（三）政务工作创新情况。</w:t>
      </w:r>
      <w:r>
        <w:rPr>
          <w:rFonts w:hint="eastAsia" w:ascii="仿宋_GB2312" w:hAnsi="Segoe UI" w:eastAsia="仿宋_GB2312" w:cs="仿宋_GB2312"/>
          <w:b/>
          <w:bCs/>
          <w:i w:val="0"/>
          <w:iCs w:val="0"/>
          <w:caps w:val="0"/>
          <w:color w:val="auto"/>
          <w:spacing w:val="0"/>
          <w:sz w:val="32"/>
          <w:szCs w:val="32"/>
          <w:highlight w:val="none"/>
          <w:shd w:val="clear" w:fill="FFFFFF"/>
          <w:lang w:eastAsia="zh-CN"/>
        </w:rPr>
        <w:t>一是</w:t>
      </w:r>
      <w:r>
        <w:rPr>
          <w:rFonts w:hint="eastAsia" w:ascii="仿宋_GB2312" w:hAnsi="Segoe UI" w:eastAsia="仿宋_GB2312" w:cs="仿宋_GB2312"/>
          <w:i w:val="0"/>
          <w:iCs w:val="0"/>
          <w:caps w:val="0"/>
          <w:color w:val="auto"/>
          <w:spacing w:val="0"/>
          <w:sz w:val="32"/>
          <w:szCs w:val="32"/>
          <w:highlight w:val="none"/>
          <w:shd w:val="clear" w:fill="FFFFFF"/>
          <w:lang w:eastAsia="zh-CN"/>
        </w:rPr>
        <w:t>坚持问需于民，加强政民互动。建立“好差评”线上评价渠道，通过宣传“好差评”评价机制，提升市场主体对“好差评”工作的知悉度、认可度和参与度。设置“交易操作一点通”栏目，突出便捷性，根据交易类型不同，为企业提供专业的服务指南、操作手册、进场交易明白纸等内容，围绕市场主体需求，持续性提供贴心服务。借助网站飘窗展示首宗广告位使用权、猕猴桃采摘权等交易创新突破，通过展示“拟出让土地市场推介”板块详细介绍宗地位置、面积、用途等内容，方便市场主体及时了解交易信息。</w:t>
      </w:r>
      <w:r>
        <w:rPr>
          <w:rFonts w:hint="eastAsia" w:ascii="仿宋_GB2312" w:hAnsi="Segoe UI" w:eastAsia="仿宋_GB2312" w:cs="仿宋_GB2312"/>
          <w:b/>
          <w:bCs/>
          <w:i w:val="0"/>
          <w:iCs w:val="0"/>
          <w:caps w:val="0"/>
          <w:color w:val="auto"/>
          <w:spacing w:val="0"/>
          <w:sz w:val="32"/>
          <w:szCs w:val="32"/>
          <w:highlight w:val="none"/>
          <w:shd w:val="clear" w:fill="FFFFFF"/>
          <w:lang w:eastAsia="zh-CN"/>
        </w:rPr>
        <w:t>二是</w:t>
      </w:r>
      <w:r>
        <w:rPr>
          <w:rFonts w:hint="eastAsia" w:ascii="仿宋_GB2312" w:hAnsi="Segoe UI" w:eastAsia="仿宋_GB2312" w:cs="仿宋_GB2312"/>
          <w:i w:val="0"/>
          <w:iCs w:val="0"/>
          <w:caps w:val="0"/>
          <w:color w:val="auto"/>
          <w:spacing w:val="0"/>
          <w:sz w:val="32"/>
          <w:szCs w:val="32"/>
          <w:highlight w:val="none"/>
          <w:shd w:val="clear" w:fill="FFFFFF"/>
          <w:lang w:eastAsia="zh-CN"/>
        </w:rPr>
        <w:t>坚持服务为先，提升服务质量。</w:t>
      </w:r>
      <w:r>
        <w:rPr>
          <w:rFonts w:hint="eastAsia" w:ascii="仿宋_GB2312" w:hAnsi="Segoe UI" w:eastAsia="仿宋_GB2312" w:cs="仿宋_GB2312"/>
          <w:i w:val="0"/>
          <w:iCs w:val="0"/>
          <w:caps w:val="0"/>
          <w:color w:val="auto"/>
          <w:spacing w:val="0"/>
          <w:kern w:val="0"/>
          <w:sz w:val="32"/>
          <w:szCs w:val="32"/>
          <w:highlight w:val="none"/>
          <w:shd w:val="clear" w:fill="FFFFFF"/>
          <w:lang w:val="en-US" w:eastAsia="zh-CN" w:bidi="ar"/>
        </w:rPr>
        <w:t>通过召开新闻发布会、开展平台开放日活动、上门走访、组织座谈会等形式，主动征集市场主体意见建议，回应市场关注的热点问题，促进惠企政策精准送达，保障了市场主体的知情权和监督权。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Segoe UI"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楷体_GB2312" w:hAnsi="Segoe UI" w:eastAsia="楷体_GB2312" w:cs="楷体_GB2312"/>
          <w:i w:val="0"/>
          <w:iCs w:val="0"/>
          <w:caps w:val="0"/>
          <w:color w:val="auto"/>
          <w:spacing w:val="0"/>
          <w:kern w:val="0"/>
          <w:sz w:val="32"/>
          <w:szCs w:val="32"/>
          <w:highlight w:val="none"/>
          <w:shd w:val="clear" w:fill="FFFFFF"/>
          <w:lang w:val="en-US" w:eastAsia="zh-CN" w:bidi="ar"/>
        </w:rPr>
        <w:t>（四）《2023年淄博市政务公开工作方案》落实情况。</w:t>
      </w:r>
      <w:r>
        <w:rPr>
          <w:rFonts w:hint="eastAsia" w:ascii="仿宋_GB2312" w:hAnsi="Segoe UI" w:eastAsia="仿宋_GB2312" w:cs="仿宋_GB2312"/>
          <w:b w:val="0"/>
          <w:bCs w:val="0"/>
          <w:i w:val="0"/>
          <w:iCs w:val="0"/>
          <w:caps w:val="0"/>
          <w:color w:val="auto"/>
          <w:spacing w:val="0"/>
          <w:kern w:val="0"/>
          <w:sz w:val="32"/>
          <w:szCs w:val="32"/>
          <w:highlight w:val="none"/>
          <w:shd w:val="clear" w:fill="FFFFFF"/>
          <w:lang w:val="en-US" w:eastAsia="zh-CN" w:bidi="ar"/>
        </w:rPr>
        <w:t>根据市政府办公室相关文件，研究制定《淄博市公共资源交易中心2023年政务公开工作要点》，主动调整政务信息公开目录，及时发布政务公开工作任务台账。开展“平台开放日”活动15次，邀请市人大代表、政协委员、市重大项目负责人、市“百强”企业代表、媒体代表等现场观摩，为提升公共资源交易服务质量和水平积极建言献策。召开新闻发布会，介绍</w:t>
      </w:r>
      <w:r>
        <w:rPr>
          <w:rFonts w:hint="default" w:ascii="仿宋_GB2312" w:hAnsi="Segoe UI" w:eastAsia="仿宋_GB2312" w:cs="仿宋_GB2312"/>
          <w:b w:val="0"/>
          <w:bCs w:val="0"/>
          <w:i w:val="0"/>
          <w:iCs w:val="0"/>
          <w:caps w:val="0"/>
          <w:color w:val="auto"/>
          <w:spacing w:val="0"/>
          <w:kern w:val="0"/>
          <w:sz w:val="32"/>
          <w:szCs w:val="32"/>
          <w:highlight w:val="none"/>
          <w:shd w:val="clear" w:fill="FFFFFF"/>
          <w:lang w:val="en-US" w:eastAsia="zh-CN" w:bidi="ar"/>
        </w:rPr>
        <w:t>淄博市公共资源交易平台建设运行情况</w:t>
      </w:r>
      <w:r>
        <w:rPr>
          <w:rFonts w:hint="eastAsia" w:ascii="仿宋_GB2312" w:hAnsi="Segoe UI" w:eastAsia="仿宋_GB2312" w:cs="仿宋_GB2312"/>
          <w:b w:val="0"/>
          <w:bCs w:val="0"/>
          <w:i w:val="0"/>
          <w:iCs w:val="0"/>
          <w:caps w:val="0"/>
          <w:color w:val="auto"/>
          <w:spacing w:val="0"/>
          <w:kern w:val="0"/>
          <w:sz w:val="32"/>
          <w:szCs w:val="32"/>
          <w:highlight w:val="none"/>
          <w:shd w:val="clear" w:fill="FFFFFF"/>
          <w:lang w:val="en-US" w:eastAsia="zh-CN" w:bidi="ar"/>
        </w:rPr>
        <w:t>，回应媒体和公众关切，切实提升政务公开工作水平。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highlight w:val="yellow"/>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highlight w:val="yellow"/>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highlight w:val="yellow"/>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0" w:firstLineChars="1500"/>
        <w:textAlignment w:val="auto"/>
        <w:rPr>
          <w:rFonts w:hint="eastAsia" w:ascii="仿宋_GB2312" w:hAnsi="Segoe UI" w:eastAsia="仿宋_GB2312" w:cs="仿宋_GB2312"/>
          <w:i w:val="0"/>
          <w:iCs w:val="0"/>
          <w:caps w:val="0"/>
          <w:color w:val="auto"/>
          <w:spacing w:val="0"/>
          <w:sz w:val="32"/>
          <w:szCs w:val="32"/>
          <w:highlight w:val="none"/>
          <w:shd w:val="clear" w:fill="FFFFFF"/>
          <w:lang w:val="en-US" w:eastAsia="zh-CN"/>
        </w:rPr>
      </w:pPr>
      <w:r>
        <w:rPr>
          <w:rFonts w:hint="eastAsia" w:ascii="仿宋_GB2312" w:hAnsi="Segoe UI" w:eastAsia="仿宋_GB2312" w:cs="仿宋_GB2312"/>
          <w:i w:val="0"/>
          <w:iCs w:val="0"/>
          <w:caps w:val="0"/>
          <w:color w:val="auto"/>
          <w:spacing w:val="0"/>
          <w:sz w:val="32"/>
          <w:szCs w:val="32"/>
          <w:highlight w:val="none"/>
          <w:shd w:val="clear" w:fill="FFFFFF"/>
          <w:lang w:val="en-US" w:eastAsia="zh-CN"/>
        </w:rPr>
        <w:t>淄博市公共资源交易中心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440" w:firstLineChars="1700"/>
        <w:textAlignment w:val="auto"/>
        <w:rPr>
          <w:rFonts w:hint="default" w:ascii="仿宋_GB2312" w:hAnsi="Segoe UI" w:eastAsia="仿宋_GB2312" w:cs="仿宋_GB2312"/>
          <w:i w:val="0"/>
          <w:iCs w:val="0"/>
          <w:caps w:val="0"/>
          <w:color w:val="auto"/>
          <w:spacing w:val="0"/>
          <w:sz w:val="32"/>
          <w:szCs w:val="32"/>
          <w:highlight w:val="none"/>
          <w:shd w:val="clear" w:fill="FFFFFF"/>
          <w:lang w:val="en-US" w:eastAsia="zh-CN"/>
        </w:rPr>
      </w:pPr>
      <w:r>
        <w:rPr>
          <w:rFonts w:hint="eastAsia" w:ascii="仿宋_GB2312" w:hAnsi="Segoe UI" w:eastAsia="仿宋_GB2312" w:cs="仿宋_GB2312"/>
          <w:i w:val="0"/>
          <w:iCs w:val="0"/>
          <w:caps w:val="0"/>
          <w:color w:val="auto"/>
          <w:spacing w:val="0"/>
          <w:sz w:val="32"/>
          <w:szCs w:val="32"/>
          <w:highlight w:val="none"/>
          <w:shd w:val="clear" w:fill="FFFFFF"/>
          <w:lang w:val="en-US" w:eastAsia="zh-CN"/>
        </w:rPr>
        <w:t xml:space="preserve">2024年1月19日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auto"/>
    <w:pitch w:val="default"/>
    <w:sig w:usb0="00000000" w:usb1="00000000" w:usb2="00000009" w:usb3="00000000" w:csb0="6000019F" w:csb1="DFD70000"/>
  </w:font>
  <w:font w:name="Noto Sans Mono">
    <w:panose1 w:val="020B0509040504020204"/>
    <w:charset w:val="00"/>
    <w:family w:val="auto"/>
    <w:pitch w:val="default"/>
    <w:sig w:usb0="E00002FF" w:usb1="4200FCFF" w:usb2="08000039" w:usb3="00100000" w:csb0="0000019F" w:csb1="DFD7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_GBK">
    <w:altName w:val="宋体"/>
    <w:panose1 w:val="02000000000000000000"/>
    <w:charset w:val="86"/>
    <w:family w:val="auto"/>
    <w:pitch w:val="default"/>
    <w:sig w:usb0="00000000" w:usb1="00000000" w:usb2="00000000" w:usb3="00000000" w:csb0="00040001" w:csb1="00000000"/>
  </w:font>
  <w:font w:name="Segoe UI">
    <w:altName w:val="Noto Naskh Arabic"/>
    <w:panose1 w:val="020B0502040204020203"/>
    <w:charset w:val="00"/>
    <w:family w:val="auto"/>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 w:name="微软雅黑">
    <w:altName w:val="黑体"/>
    <w:panose1 w:val="020B0503020204020204"/>
    <w:charset w:val="86"/>
    <w:family w:val="auto"/>
    <w:pitch w:val="default"/>
    <w:sig w:usb0="00000000" w:usb1="0000000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Style w:val="10"/>
                              <w:rFonts w:hint="eastAsia" w:ascii="宋体" w:hAnsi="宋体" w:eastAsia="宋体"/>
                              <w:sz w:val="28"/>
                            </w:rPr>
                            <w:t>—</w:t>
                          </w:r>
                          <w:r>
                            <w:rPr>
                              <w:rFonts w:hint="eastAsia" w:ascii="宋体" w:hAnsi="宋体" w:eastAsia="宋体"/>
                              <w:sz w:val="28"/>
                            </w:rPr>
                            <w:fldChar w:fldCharType="begin"/>
                          </w:r>
                          <w:r>
                            <w:rPr>
                              <w:rStyle w:val="10"/>
                              <w:rFonts w:hint="eastAsia" w:ascii="宋体" w:hAnsi="宋体" w:eastAsia="宋体"/>
                              <w:sz w:val="28"/>
                            </w:rPr>
                            <w:instrText xml:space="preserve"> PAGE  </w:instrText>
                          </w:r>
                          <w:r>
                            <w:rPr>
                              <w:rFonts w:hint="eastAsia" w:ascii="宋体" w:hAnsi="宋体" w:eastAsia="宋体"/>
                              <w:sz w:val="28"/>
                            </w:rPr>
                            <w:fldChar w:fldCharType="separate"/>
                          </w:r>
                          <w:r>
                            <w:rPr>
                              <w:rStyle w:val="10"/>
                              <w:rFonts w:hint="eastAsia" w:ascii="宋体" w:hAnsi="宋体" w:eastAsia="宋体"/>
                              <w:sz w:val="28"/>
                            </w:rPr>
                            <w:t>2</w:t>
                          </w:r>
                          <w:r>
                            <w:rPr>
                              <w:rFonts w:hint="eastAsia" w:ascii="宋体" w:hAnsi="宋体" w:eastAsia="宋体"/>
                              <w:sz w:val="28"/>
                            </w:rPr>
                            <w:fldChar w:fldCharType="end"/>
                          </w:r>
                          <w:r>
                            <w:rPr>
                              <w:rStyle w:val="10"/>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pPr>
                    <w:r>
                      <w:rPr>
                        <w:rStyle w:val="10"/>
                        <w:rFonts w:hint="eastAsia" w:ascii="宋体" w:hAnsi="宋体" w:eastAsia="宋体"/>
                        <w:sz w:val="28"/>
                      </w:rPr>
                      <w:t>—</w:t>
                    </w:r>
                    <w:r>
                      <w:rPr>
                        <w:rFonts w:hint="eastAsia" w:ascii="宋体" w:hAnsi="宋体" w:eastAsia="宋体"/>
                        <w:sz w:val="28"/>
                      </w:rPr>
                      <w:fldChar w:fldCharType="begin"/>
                    </w:r>
                    <w:r>
                      <w:rPr>
                        <w:rStyle w:val="10"/>
                        <w:rFonts w:hint="eastAsia" w:ascii="宋体" w:hAnsi="宋体" w:eastAsia="宋体"/>
                        <w:sz w:val="28"/>
                      </w:rPr>
                      <w:instrText xml:space="preserve"> PAGE  </w:instrText>
                    </w:r>
                    <w:r>
                      <w:rPr>
                        <w:rFonts w:hint="eastAsia" w:ascii="宋体" w:hAnsi="宋体" w:eastAsia="宋体"/>
                        <w:sz w:val="28"/>
                      </w:rPr>
                      <w:fldChar w:fldCharType="separate"/>
                    </w:r>
                    <w:r>
                      <w:rPr>
                        <w:rStyle w:val="10"/>
                        <w:rFonts w:hint="eastAsia" w:ascii="宋体" w:hAnsi="宋体" w:eastAsia="宋体"/>
                        <w:sz w:val="28"/>
                      </w:rPr>
                      <w:t>2</w:t>
                    </w:r>
                    <w:r>
                      <w:rPr>
                        <w:rFonts w:hint="eastAsia" w:ascii="宋体" w:hAnsi="宋体" w:eastAsia="宋体"/>
                        <w:sz w:val="28"/>
                      </w:rPr>
                      <w:fldChar w:fldCharType="end"/>
                    </w:r>
                    <w:r>
                      <w:rPr>
                        <w:rStyle w:val="10"/>
                        <w:rFonts w:hint="eastAsia"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7B0E"/>
    <w:multiLevelType w:val="singleLevel"/>
    <w:tmpl w:val="AFEA7B0E"/>
    <w:lvl w:ilvl="0" w:tentative="0">
      <w:start w:val="1"/>
      <w:numFmt w:val="chineseCounting"/>
      <w:suff w:val="nothing"/>
      <w:lvlText w:val="%1、"/>
      <w:lvlJc w:val="left"/>
      <w:rPr>
        <w:rFonts w:hint="eastAsia"/>
      </w:rPr>
    </w:lvl>
  </w:abstractNum>
  <w:abstractNum w:abstractNumId="1">
    <w:nsid w:val="FAA1033D"/>
    <w:multiLevelType w:val="singleLevel"/>
    <w:tmpl w:val="FAA1033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MDE1MTJhM2NmZmI2MTg5Y2ZlY2Q2NjBjN2MzMmYifQ=="/>
  </w:docVars>
  <w:rsids>
    <w:rsidRoot w:val="575D3B60"/>
    <w:rsid w:val="00246049"/>
    <w:rsid w:val="00675838"/>
    <w:rsid w:val="00C555CB"/>
    <w:rsid w:val="00C86B57"/>
    <w:rsid w:val="00CD2FDE"/>
    <w:rsid w:val="00E8160A"/>
    <w:rsid w:val="010569BB"/>
    <w:rsid w:val="01106F4B"/>
    <w:rsid w:val="016234D2"/>
    <w:rsid w:val="01B47A59"/>
    <w:rsid w:val="0283164A"/>
    <w:rsid w:val="03BD5772"/>
    <w:rsid w:val="040A439F"/>
    <w:rsid w:val="0623601E"/>
    <w:rsid w:val="06340B26"/>
    <w:rsid w:val="06B70A90"/>
    <w:rsid w:val="07155E78"/>
    <w:rsid w:val="075E5DA6"/>
    <w:rsid w:val="07DD0873"/>
    <w:rsid w:val="07ED0A5C"/>
    <w:rsid w:val="0A126294"/>
    <w:rsid w:val="0A673C53"/>
    <w:rsid w:val="0A895661"/>
    <w:rsid w:val="0AB15B7F"/>
    <w:rsid w:val="0ACF749F"/>
    <w:rsid w:val="0B2628D9"/>
    <w:rsid w:val="0B361D07"/>
    <w:rsid w:val="0B581923"/>
    <w:rsid w:val="0BA27CA4"/>
    <w:rsid w:val="0BDA3681"/>
    <w:rsid w:val="0C177C63"/>
    <w:rsid w:val="0C2E36E7"/>
    <w:rsid w:val="0C5919D1"/>
    <w:rsid w:val="0E1A3BB0"/>
    <w:rsid w:val="0E245572"/>
    <w:rsid w:val="0FC76880"/>
    <w:rsid w:val="0FD22F01"/>
    <w:rsid w:val="10242D0C"/>
    <w:rsid w:val="10A43B1F"/>
    <w:rsid w:val="117F5F02"/>
    <w:rsid w:val="11A04F42"/>
    <w:rsid w:val="11A149F5"/>
    <w:rsid w:val="11F012C8"/>
    <w:rsid w:val="12AD7501"/>
    <w:rsid w:val="12E73814"/>
    <w:rsid w:val="13141D5A"/>
    <w:rsid w:val="13371015"/>
    <w:rsid w:val="13B41C63"/>
    <w:rsid w:val="14217B02"/>
    <w:rsid w:val="144733D0"/>
    <w:rsid w:val="146D2C81"/>
    <w:rsid w:val="14840CB7"/>
    <w:rsid w:val="14DD4BC8"/>
    <w:rsid w:val="14E632DA"/>
    <w:rsid w:val="14E867DD"/>
    <w:rsid w:val="15D80EA4"/>
    <w:rsid w:val="16003A26"/>
    <w:rsid w:val="165B4EA6"/>
    <w:rsid w:val="167D4675"/>
    <w:rsid w:val="16DE6E0B"/>
    <w:rsid w:val="175E1DCB"/>
    <w:rsid w:val="18621DE4"/>
    <w:rsid w:val="186366A3"/>
    <w:rsid w:val="18775734"/>
    <w:rsid w:val="18CC73BC"/>
    <w:rsid w:val="19744352"/>
    <w:rsid w:val="198545EC"/>
    <w:rsid w:val="1A774E7A"/>
    <w:rsid w:val="1A7B6C9F"/>
    <w:rsid w:val="1B666D00"/>
    <w:rsid w:val="1C9673F2"/>
    <w:rsid w:val="1DE759EE"/>
    <w:rsid w:val="1E2E3EF1"/>
    <w:rsid w:val="1E6F2058"/>
    <w:rsid w:val="1E873426"/>
    <w:rsid w:val="1E993F75"/>
    <w:rsid w:val="1EC27FFB"/>
    <w:rsid w:val="1ECC2BD9"/>
    <w:rsid w:val="1EEE8220"/>
    <w:rsid w:val="1FFB8F46"/>
    <w:rsid w:val="204B6589"/>
    <w:rsid w:val="208F7F77"/>
    <w:rsid w:val="23101ECA"/>
    <w:rsid w:val="235F2314"/>
    <w:rsid w:val="23F7700F"/>
    <w:rsid w:val="24217E53"/>
    <w:rsid w:val="24CA4117"/>
    <w:rsid w:val="2510555E"/>
    <w:rsid w:val="260512EE"/>
    <w:rsid w:val="27A33318"/>
    <w:rsid w:val="27CD011F"/>
    <w:rsid w:val="281213CE"/>
    <w:rsid w:val="28401C27"/>
    <w:rsid w:val="28D22706"/>
    <w:rsid w:val="293B68B2"/>
    <w:rsid w:val="29DFAADD"/>
    <w:rsid w:val="2A307D13"/>
    <w:rsid w:val="2A463052"/>
    <w:rsid w:val="2A580712"/>
    <w:rsid w:val="2A886554"/>
    <w:rsid w:val="2ABE6A2E"/>
    <w:rsid w:val="2B050473"/>
    <w:rsid w:val="2B0B6B2D"/>
    <w:rsid w:val="2BCD6BEB"/>
    <w:rsid w:val="2BE82DCF"/>
    <w:rsid w:val="2C01033F"/>
    <w:rsid w:val="2C68486B"/>
    <w:rsid w:val="2C8A0F75"/>
    <w:rsid w:val="2E523F32"/>
    <w:rsid w:val="2E797950"/>
    <w:rsid w:val="2F3960B7"/>
    <w:rsid w:val="2F5707CF"/>
    <w:rsid w:val="2FD7EECA"/>
    <w:rsid w:val="2FE27E52"/>
    <w:rsid w:val="2FF92BD6"/>
    <w:rsid w:val="310779B2"/>
    <w:rsid w:val="3172522D"/>
    <w:rsid w:val="31F05AFB"/>
    <w:rsid w:val="322112BA"/>
    <w:rsid w:val="32DE1F01"/>
    <w:rsid w:val="34565015"/>
    <w:rsid w:val="3498390E"/>
    <w:rsid w:val="34ED54E4"/>
    <w:rsid w:val="35234ED1"/>
    <w:rsid w:val="35534264"/>
    <w:rsid w:val="360B7EBA"/>
    <w:rsid w:val="377D1455"/>
    <w:rsid w:val="38C3469B"/>
    <w:rsid w:val="396A0841"/>
    <w:rsid w:val="396F4CC8"/>
    <w:rsid w:val="397A2946"/>
    <w:rsid w:val="3A736AF5"/>
    <w:rsid w:val="3A9E1B37"/>
    <w:rsid w:val="3AC33D0E"/>
    <w:rsid w:val="3B173D7F"/>
    <w:rsid w:val="3B9855D2"/>
    <w:rsid w:val="3C7826C2"/>
    <w:rsid w:val="3CFA705C"/>
    <w:rsid w:val="3D4C25F1"/>
    <w:rsid w:val="3D7C44EE"/>
    <w:rsid w:val="3D8418FA"/>
    <w:rsid w:val="3E24017F"/>
    <w:rsid w:val="3EA00DD4"/>
    <w:rsid w:val="3EDE04A0"/>
    <w:rsid w:val="3F1C0717"/>
    <w:rsid w:val="3F277DAD"/>
    <w:rsid w:val="3F5D578C"/>
    <w:rsid w:val="3F8E0A56"/>
    <w:rsid w:val="3FABEA42"/>
    <w:rsid w:val="3FD16F41"/>
    <w:rsid w:val="3FD934D9"/>
    <w:rsid w:val="3FFF5A22"/>
    <w:rsid w:val="400A73D4"/>
    <w:rsid w:val="40302BBE"/>
    <w:rsid w:val="407C770F"/>
    <w:rsid w:val="40D27DE8"/>
    <w:rsid w:val="433724B6"/>
    <w:rsid w:val="43537411"/>
    <w:rsid w:val="438E350C"/>
    <w:rsid w:val="442B6866"/>
    <w:rsid w:val="44657C35"/>
    <w:rsid w:val="44FE0775"/>
    <w:rsid w:val="451F1723"/>
    <w:rsid w:val="4541586E"/>
    <w:rsid w:val="4544511C"/>
    <w:rsid w:val="457B4080"/>
    <w:rsid w:val="464B6860"/>
    <w:rsid w:val="465B00AE"/>
    <w:rsid w:val="46CD6437"/>
    <w:rsid w:val="46D11FBC"/>
    <w:rsid w:val="4730365B"/>
    <w:rsid w:val="47831DE0"/>
    <w:rsid w:val="4810074A"/>
    <w:rsid w:val="482D69F6"/>
    <w:rsid w:val="4A502A52"/>
    <w:rsid w:val="4AF64C8A"/>
    <w:rsid w:val="4B6413F4"/>
    <w:rsid w:val="4B8841F9"/>
    <w:rsid w:val="4BF7CEF8"/>
    <w:rsid w:val="4C5B7DD5"/>
    <w:rsid w:val="4C8C05A4"/>
    <w:rsid w:val="4CC59629"/>
    <w:rsid w:val="4D811DB6"/>
    <w:rsid w:val="4D942FD5"/>
    <w:rsid w:val="4E0C507F"/>
    <w:rsid w:val="4E550BC3"/>
    <w:rsid w:val="4E8F44F1"/>
    <w:rsid w:val="4E950123"/>
    <w:rsid w:val="4EBE17BD"/>
    <w:rsid w:val="4F3B2459"/>
    <w:rsid w:val="4F5D5E43"/>
    <w:rsid w:val="4F8C7559"/>
    <w:rsid w:val="4FB07E4C"/>
    <w:rsid w:val="4FD32219"/>
    <w:rsid w:val="4FDD0838"/>
    <w:rsid w:val="50097FEC"/>
    <w:rsid w:val="512B513A"/>
    <w:rsid w:val="515510D8"/>
    <w:rsid w:val="518A5153"/>
    <w:rsid w:val="51B65897"/>
    <w:rsid w:val="521C7CA2"/>
    <w:rsid w:val="524E6B41"/>
    <w:rsid w:val="52CB19B8"/>
    <w:rsid w:val="531B420E"/>
    <w:rsid w:val="53D51FC9"/>
    <w:rsid w:val="5462049E"/>
    <w:rsid w:val="546A3CAE"/>
    <w:rsid w:val="54B856AB"/>
    <w:rsid w:val="54E2614F"/>
    <w:rsid w:val="55BB296F"/>
    <w:rsid w:val="56AF05EE"/>
    <w:rsid w:val="56BD255D"/>
    <w:rsid w:val="574633BB"/>
    <w:rsid w:val="575D3B60"/>
    <w:rsid w:val="5800606D"/>
    <w:rsid w:val="580E48B5"/>
    <w:rsid w:val="592B22D7"/>
    <w:rsid w:val="5A91604C"/>
    <w:rsid w:val="5ACE08E9"/>
    <w:rsid w:val="5BE7BF13"/>
    <w:rsid w:val="5D0D47EC"/>
    <w:rsid w:val="5D1B7FCE"/>
    <w:rsid w:val="5D31225D"/>
    <w:rsid w:val="5D63756D"/>
    <w:rsid w:val="5D657148"/>
    <w:rsid w:val="5D712F5B"/>
    <w:rsid w:val="5DFBB54B"/>
    <w:rsid w:val="5E12261D"/>
    <w:rsid w:val="5E4332B3"/>
    <w:rsid w:val="5E5ED59A"/>
    <w:rsid w:val="5E6202E5"/>
    <w:rsid w:val="5EC367FB"/>
    <w:rsid w:val="5EC83FD5"/>
    <w:rsid w:val="5EDB695D"/>
    <w:rsid w:val="5F401ED1"/>
    <w:rsid w:val="60B00E2F"/>
    <w:rsid w:val="6184248C"/>
    <w:rsid w:val="619218D7"/>
    <w:rsid w:val="61F1723C"/>
    <w:rsid w:val="62004C72"/>
    <w:rsid w:val="625B0E6A"/>
    <w:rsid w:val="62E358CB"/>
    <w:rsid w:val="62EB1054"/>
    <w:rsid w:val="63EC3B7F"/>
    <w:rsid w:val="650B3FD7"/>
    <w:rsid w:val="652B3207"/>
    <w:rsid w:val="65CF28C3"/>
    <w:rsid w:val="65D649A4"/>
    <w:rsid w:val="65FA0A94"/>
    <w:rsid w:val="675F6240"/>
    <w:rsid w:val="67830108"/>
    <w:rsid w:val="67E74384"/>
    <w:rsid w:val="69351AA8"/>
    <w:rsid w:val="69D20A2C"/>
    <w:rsid w:val="69FC66D8"/>
    <w:rsid w:val="69FF8E98"/>
    <w:rsid w:val="6AD05BA4"/>
    <w:rsid w:val="6B09652B"/>
    <w:rsid w:val="6BE97D97"/>
    <w:rsid w:val="6C3C47E3"/>
    <w:rsid w:val="6C434FAE"/>
    <w:rsid w:val="6C4C203A"/>
    <w:rsid w:val="6DE333D5"/>
    <w:rsid w:val="6E7116EB"/>
    <w:rsid w:val="6E7E1C21"/>
    <w:rsid w:val="6EAF50A7"/>
    <w:rsid w:val="6EDEF2C2"/>
    <w:rsid w:val="6F2F0E79"/>
    <w:rsid w:val="6FEA175C"/>
    <w:rsid w:val="6FF249E3"/>
    <w:rsid w:val="709829C9"/>
    <w:rsid w:val="709D48D3"/>
    <w:rsid w:val="70AE6D6B"/>
    <w:rsid w:val="70AF25EE"/>
    <w:rsid w:val="70E60282"/>
    <w:rsid w:val="718957D5"/>
    <w:rsid w:val="723A7B77"/>
    <w:rsid w:val="72B77140"/>
    <w:rsid w:val="72FF69DC"/>
    <w:rsid w:val="730D3F7D"/>
    <w:rsid w:val="738A22C6"/>
    <w:rsid w:val="73AF4F22"/>
    <w:rsid w:val="74352E35"/>
    <w:rsid w:val="746418F9"/>
    <w:rsid w:val="75725B16"/>
    <w:rsid w:val="75CD674E"/>
    <w:rsid w:val="75EF0A29"/>
    <w:rsid w:val="76FF6D52"/>
    <w:rsid w:val="7777F3E8"/>
    <w:rsid w:val="779B69C9"/>
    <w:rsid w:val="77B9BB1E"/>
    <w:rsid w:val="78170512"/>
    <w:rsid w:val="789E74F1"/>
    <w:rsid w:val="78DC699B"/>
    <w:rsid w:val="78F4247E"/>
    <w:rsid w:val="796A5940"/>
    <w:rsid w:val="79CE7BE3"/>
    <w:rsid w:val="79DB2C1A"/>
    <w:rsid w:val="7A294A79"/>
    <w:rsid w:val="7AFF4BD3"/>
    <w:rsid w:val="7B1A5686"/>
    <w:rsid w:val="7CC62B84"/>
    <w:rsid w:val="7CF34924"/>
    <w:rsid w:val="7D7342FB"/>
    <w:rsid w:val="7D83C6BD"/>
    <w:rsid w:val="7DC27B63"/>
    <w:rsid w:val="7DFCDB91"/>
    <w:rsid w:val="7E4435B5"/>
    <w:rsid w:val="7E7E5D4D"/>
    <w:rsid w:val="7EA702B4"/>
    <w:rsid w:val="7EB61981"/>
    <w:rsid w:val="7EBF8F91"/>
    <w:rsid w:val="7EF45957"/>
    <w:rsid w:val="7F012A6E"/>
    <w:rsid w:val="7F3F2243"/>
    <w:rsid w:val="7F66776E"/>
    <w:rsid w:val="7F6E8836"/>
    <w:rsid w:val="7F7F9625"/>
    <w:rsid w:val="7FA31A6D"/>
    <w:rsid w:val="7FB5D6CD"/>
    <w:rsid w:val="7FDF2E97"/>
    <w:rsid w:val="7FEF96B3"/>
    <w:rsid w:val="7FFC0B36"/>
    <w:rsid w:val="9EF77932"/>
    <w:rsid w:val="A57D3E47"/>
    <w:rsid w:val="B367DCFE"/>
    <w:rsid w:val="BBEFE026"/>
    <w:rsid w:val="BE9503B3"/>
    <w:rsid w:val="BFC5C635"/>
    <w:rsid w:val="BFD7229F"/>
    <w:rsid w:val="CEAF84D7"/>
    <w:rsid w:val="CFFF42E4"/>
    <w:rsid w:val="D6F4BC5E"/>
    <w:rsid w:val="D77B29D3"/>
    <w:rsid w:val="D7EF2000"/>
    <w:rsid w:val="DBFF21FA"/>
    <w:rsid w:val="E2EFBC2D"/>
    <w:rsid w:val="E7246E3E"/>
    <w:rsid w:val="E75F043B"/>
    <w:rsid w:val="EDC70BA0"/>
    <w:rsid w:val="EDEFFB3F"/>
    <w:rsid w:val="EEEB0326"/>
    <w:rsid w:val="EF5A23C5"/>
    <w:rsid w:val="EF771A88"/>
    <w:rsid w:val="EFDF8C90"/>
    <w:rsid w:val="EFF54624"/>
    <w:rsid w:val="F3EF8642"/>
    <w:rsid w:val="F4EF89EE"/>
    <w:rsid w:val="F79F1E2E"/>
    <w:rsid w:val="F7F30EC0"/>
    <w:rsid w:val="F7FB9388"/>
    <w:rsid w:val="F8FE5A4F"/>
    <w:rsid w:val="FAFB7EDF"/>
    <w:rsid w:val="FBD7D0A1"/>
    <w:rsid w:val="FC4F0604"/>
    <w:rsid w:val="FC87B692"/>
    <w:rsid w:val="FCAD2508"/>
    <w:rsid w:val="FD9B8B6F"/>
    <w:rsid w:val="FDBF15EA"/>
    <w:rsid w:val="FDDE63E9"/>
    <w:rsid w:val="FE07F500"/>
    <w:rsid w:val="FF661C90"/>
    <w:rsid w:val="FF9F7F79"/>
    <w:rsid w:val="FFA982B4"/>
    <w:rsid w:val="FFD5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cs="Calibri"/>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qFormat/>
    <w:uiPriority w:val="0"/>
    <w:rPr>
      <w:color w:val="000000"/>
      <w:u w:val="none"/>
    </w:rPr>
  </w:style>
  <w:style w:type="character" w:styleId="12">
    <w:name w:val="Hyperlink"/>
    <w:basedOn w:val="8"/>
    <w:qFormat/>
    <w:uiPriority w:val="0"/>
    <w:rPr>
      <w:color w:val="000000"/>
      <w:u w:val="none"/>
    </w:rPr>
  </w:style>
  <w:style w:type="character" w:styleId="13">
    <w:name w:val="HTML Code"/>
    <w:basedOn w:val="8"/>
    <w:qFormat/>
    <w:uiPriority w:val="0"/>
    <w:rPr>
      <w:rFonts w:hint="default" w:ascii="Consolas" w:hAnsi="Consolas" w:eastAsia="Consolas" w:cs="Consolas"/>
      <w:color w:val="C7254E"/>
      <w:sz w:val="21"/>
      <w:szCs w:val="21"/>
      <w:shd w:val="clear" w:fill="F8F8F8"/>
    </w:rPr>
  </w:style>
  <w:style w:type="character" w:styleId="14">
    <w:name w:val="HTML Keyboard"/>
    <w:basedOn w:val="8"/>
    <w:qFormat/>
    <w:uiPriority w:val="0"/>
    <w:rPr>
      <w:rFonts w:hint="default" w:ascii="Consolas" w:hAnsi="Consolas" w:eastAsia="Consolas" w:cs="Consolas"/>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am-active"/>
    <w:basedOn w:val="8"/>
    <w:qFormat/>
    <w:uiPriority w:val="0"/>
    <w:rPr>
      <w:color w:val="0084C7"/>
      <w:shd w:val="clear" w:fill="F0F0F0"/>
    </w:rPr>
  </w:style>
  <w:style w:type="character" w:customStyle="1" w:styleId="17">
    <w:name w:val="am-active1"/>
    <w:basedOn w:val="8"/>
    <w:qFormat/>
    <w:uiPriority w:val="0"/>
    <w:rPr>
      <w:color w:val="1B961B"/>
    </w:rPr>
  </w:style>
  <w:style w:type="character" w:customStyle="1" w:styleId="18">
    <w:name w:val="am-active2"/>
    <w:basedOn w:val="8"/>
    <w:qFormat/>
    <w:uiPriority w:val="0"/>
    <w:rPr>
      <w:color w:val="C10802"/>
    </w:rPr>
  </w:style>
  <w:style w:type="character" w:customStyle="1" w:styleId="19">
    <w:name w:val="am-active3"/>
    <w:basedOn w:val="8"/>
    <w:qFormat/>
    <w:uiPriority w:val="0"/>
    <w:rPr>
      <w:color w:val="AA4B00"/>
    </w:rPr>
  </w:style>
  <w:style w:type="character" w:customStyle="1" w:styleId="20">
    <w:name w:val="am-disabled16"/>
    <w:basedOn w:val="8"/>
    <w:qFormat/>
    <w:uiPriority w:val="0"/>
    <w:rPr>
      <w:color w:val="999999"/>
      <w:shd w:val="clear" w:fill="FAFAFA"/>
    </w:rPr>
  </w:style>
  <w:style w:type="character" w:customStyle="1" w:styleId="21">
    <w:name w:val="am-datepicker-old"/>
    <w:basedOn w:val="8"/>
    <w:qFormat/>
    <w:uiPriority w:val="0"/>
    <w:rPr>
      <w:color w:val="89D7FF"/>
    </w:rPr>
  </w:style>
  <w:style w:type="character" w:customStyle="1" w:styleId="22">
    <w:name w:val="am-datepicker-old1"/>
    <w:basedOn w:val="8"/>
    <w:qFormat/>
    <w:uiPriority w:val="0"/>
    <w:rPr>
      <w:color w:val="94DF94"/>
    </w:rPr>
  </w:style>
  <w:style w:type="character" w:customStyle="1" w:styleId="23">
    <w:name w:val="am-datepicker-old2"/>
    <w:basedOn w:val="8"/>
    <w:qFormat/>
    <w:uiPriority w:val="0"/>
    <w:rPr>
      <w:color w:val="F59490"/>
    </w:rPr>
  </w:style>
  <w:style w:type="character" w:customStyle="1" w:styleId="24">
    <w:name w:val="am-datepicker-old3"/>
    <w:basedOn w:val="8"/>
    <w:qFormat/>
    <w:uiPriority w:val="0"/>
    <w:rPr>
      <w:color w:val="FFAD6D"/>
    </w:rPr>
  </w:style>
  <w:style w:type="character" w:customStyle="1" w:styleId="25">
    <w:name w:val="hover24"/>
    <w:basedOn w:val="8"/>
    <w:qFormat/>
    <w:uiPriority w:val="0"/>
    <w:rPr>
      <w:shd w:val="clear" w:fill="F0F0F0"/>
    </w:rPr>
  </w:style>
  <w:style w:type="character" w:customStyle="1" w:styleId="26">
    <w:name w:val="layui-this"/>
    <w:basedOn w:val="8"/>
    <w:qFormat/>
    <w:uiPriority w:val="0"/>
    <w:rPr>
      <w:bdr w:val="single" w:color="EEEEEE" w:sz="4" w:space="0"/>
      <w:shd w:val="clear" w:fill="FFFFFF"/>
    </w:rPr>
  </w:style>
  <w:style w:type="character" w:customStyle="1" w:styleId="27">
    <w:name w:val="first-child2"/>
    <w:basedOn w:val="8"/>
    <w:qFormat/>
    <w:uiPriority w:val="0"/>
  </w:style>
  <w:style w:type="character" w:customStyle="1" w:styleId="28">
    <w:name w:val="first-child"/>
    <w:basedOn w:val="8"/>
    <w:qFormat/>
    <w:uiPriority w:val="0"/>
  </w:style>
  <w:style w:type="character" w:customStyle="1" w:styleId="29">
    <w:name w:val="am-active19"/>
    <w:basedOn w:val="8"/>
    <w:qFormat/>
    <w:uiPriority w:val="0"/>
    <w:rPr>
      <w:color w:val="C10802"/>
    </w:rPr>
  </w:style>
  <w:style w:type="character" w:customStyle="1" w:styleId="30">
    <w:name w:val="am-active20"/>
    <w:basedOn w:val="8"/>
    <w:qFormat/>
    <w:uiPriority w:val="0"/>
    <w:rPr>
      <w:color w:val="AA4B00"/>
    </w:rPr>
  </w:style>
  <w:style w:type="character" w:customStyle="1" w:styleId="31">
    <w:name w:val="am-active21"/>
    <w:basedOn w:val="8"/>
    <w:qFormat/>
    <w:uiPriority w:val="0"/>
    <w:rPr>
      <w:color w:val="0084C7"/>
      <w:shd w:val="clear" w:fill="F0F0F0"/>
    </w:rPr>
  </w:style>
  <w:style w:type="character" w:customStyle="1" w:styleId="32">
    <w:name w:val="am-active22"/>
    <w:basedOn w:val="8"/>
    <w:qFormat/>
    <w:uiPriority w:val="0"/>
    <w:rPr>
      <w:color w:val="1B961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3272</Words>
  <Characters>3407</Characters>
  <Lines>0</Lines>
  <Paragraphs>0</Paragraphs>
  <TotalTime>27</TotalTime>
  <ScaleCrop>false</ScaleCrop>
  <LinksUpToDate>false</LinksUpToDate>
  <CharactersWithSpaces>3434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2023-01-19T14:07:00Z</dcterms:created>
  <dc:creator>小确幸</dc:creator>
  <cp:lastModifiedBy>admin</cp:lastModifiedBy>
  <cp:lastPrinted>2024-01-22T13:48:49Z</cp:lastPrinted>
  <dcterms:modified xsi:type="dcterms:W3CDTF">2024-01-22T14:02:50Z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18CB4CC7AA2F480EBB2E5857AE32B1D7</vt:lpwstr>
  </property>
</Properties>
</file>