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line="600" w:lineRule="exact"/>
        <w:jc w:val="center"/>
        <w:rPr>
          <w:rFonts w:hint="default" w:asciiTheme="majorEastAsia" w:hAnsiTheme="majorEastAsia" w:eastAsiaTheme="majorEastAsia" w:cstheme="majorEastAsia"/>
          <w:sz w:val="44"/>
          <w:szCs w:val="44"/>
        </w:rPr>
      </w:pPr>
    </w:p>
    <w:p>
      <w:pPr>
        <w:pStyle w:val="3"/>
        <w:spacing w:beforeAutospacing="0" w:afterAutospacing="0"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淄博市人民政府办公室</w:t>
      </w:r>
    </w:p>
    <w:p>
      <w:pPr>
        <w:pStyle w:val="3"/>
        <w:spacing w:beforeAutospacing="0" w:afterAutospacing="0"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val="en-US" w:eastAsia="zh-CN"/>
        </w:rPr>
        <w:t>1</w:t>
      </w:r>
      <w:r>
        <w:rPr>
          <w:rFonts w:hint="eastAsia" w:ascii="方正小标宋_GBK" w:hAnsi="方正小标宋_GBK" w:eastAsia="方正小标宋_GBK" w:cs="方正小标宋_GBK"/>
          <w:b w:val="0"/>
          <w:bCs/>
          <w:sz w:val="44"/>
          <w:szCs w:val="44"/>
        </w:rPr>
        <w:t>年政府信息公开工作年度报告</w:t>
      </w:r>
    </w:p>
    <w:p>
      <w:pPr>
        <w:spacing w:line="600" w:lineRule="exact"/>
        <w:rPr>
          <w:sz w:val="32"/>
          <w:szCs w:val="32"/>
        </w:rPr>
      </w:pPr>
    </w:p>
    <w:p>
      <w:pPr>
        <w:pStyle w:val="6"/>
        <w:spacing w:beforeAutospacing="0" w:afterAutospacing="0" w:line="600" w:lineRule="exact"/>
        <w:ind w:firstLine="645"/>
        <w:jc w:val="both"/>
        <w:rPr>
          <w:rFonts w:ascii="仿宋" w:hAnsi="仿宋" w:eastAsia="仿宋" w:cs="仿宋"/>
          <w:sz w:val="32"/>
          <w:szCs w:val="32"/>
        </w:rPr>
      </w:pPr>
      <w:r>
        <w:rPr>
          <w:rFonts w:hint="eastAsia" w:ascii="仿宋" w:hAnsi="仿宋" w:eastAsia="仿宋" w:cs="仿宋"/>
          <w:sz w:val="32"/>
          <w:szCs w:val="32"/>
        </w:rPr>
        <w:t>本报告按照《中华人民共和国政府信息公开条例》要求编制，全文包括总体情况、主动公开政府信息情况、收到和处理政府信息公开申请情况、因政府信息公开工作被申请行政复议和提起行政诉讼情况、政府信息公开工作存在的主要问题及改进</w:t>
      </w:r>
      <w:r>
        <w:rPr>
          <w:rFonts w:hint="eastAsia" w:ascii="仿宋" w:hAnsi="仿宋" w:eastAsia="仿宋" w:cs="仿宋"/>
          <w:sz w:val="32"/>
          <w:szCs w:val="32"/>
          <w:lang w:eastAsia="zh-CN"/>
        </w:rPr>
        <w:t>情况</w:t>
      </w:r>
      <w:r>
        <w:rPr>
          <w:rFonts w:hint="eastAsia" w:ascii="仿宋" w:hAnsi="仿宋" w:eastAsia="仿宋" w:cs="仿宋"/>
          <w:sz w:val="32"/>
          <w:szCs w:val="32"/>
        </w:rPr>
        <w:t>、其他需要报告的事项等六个部分。本报告电子版可从淄博市人民政府门户网站(</w:t>
      </w:r>
      <w:r>
        <w:fldChar w:fldCharType="begin"/>
      </w:r>
      <w:r>
        <w:instrText xml:space="preserve"> HYPERLINK "http://www.zibo.gov.cn/" \t "http://www.zibo.gov.cn/gongkai/site_srmzfbgs/_blank" </w:instrText>
      </w:r>
      <w:r>
        <w:fldChar w:fldCharType="separate"/>
      </w:r>
      <w:r>
        <w:rPr>
          <w:rStyle w:val="14"/>
          <w:rFonts w:hint="eastAsia" w:ascii="仿宋" w:hAnsi="仿宋" w:eastAsia="仿宋" w:cs="仿宋"/>
          <w:sz w:val="32"/>
          <w:szCs w:val="32"/>
        </w:rPr>
        <w:t>www.zibo.gov.cn</w:t>
      </w:r>
      <w:r>
        <w:rPr>
          <w:rStyle w:val="14"/>
          <w:rFonts w:hint="eastAsia" w:ascii="仿宋" w:hAnsi="仿宋" w:eastAsia="仿宋" w:cs="仿宋"/>
          <w:sz w:val="32"/>
          <w:szCs w:val="32"/>
        </w:rPr>
        <w:fldChar w:fldCharType="end"/>
      </w:r>
      <w:r>
        <w:rPr>
          <w:rFonts w:hint="eastAsia" w:ascii="仿宋" w:hAnsi="仿宋" w:eastAsia="仿宋" w:cs="仿宋"/>
          <w:sz w:val="32"/>
          <w:szCs w:val="32"/>
        </w:rPr>
        <w:t>)下载。</w:t>
      </w:r>
    </w:p>
    <w:p>
      <w:pPr>
        <w:pStyle w:val="6"/>
        <w:spacing w:before="150" w:beforeAutospacing="0" w:after="150" w:afterAutospacing="0" w:line="600" w:lineRule="exact"/>
        <w:ind w:firstLine="720"/>
        <w:jc w:val="both"/>
        <w:outlineLvl w:val="0"/>
        <w:rPr>
          <w:rFonts w:ascii="黑体" w:hAnsi="黑体" w:eastAsia="黑体" w:cs="黑体"/>
          <w:bCs/>
          <w:sz w:val="32"/>
          <w:szCs w:val="32"/>
        </w:rPr>
      </w:pPr>
      <w:r>
        <w:rPr>
          <w:rStyle w:val="9"/>
          <w:rFonts w:hint="eastAsia" w:ascii="黑体" w:hAnsi="黑体" w:eastAsia="黑体" w:cs="黑体"/>
          <w:b w:val="0"/>
          <w:bCs/>
          <w:sz w:val="32"/>
          <w:szCs w:val="32"/>
        </w:rPr>
        <w:t>一、总体情况</w:t>
      </w:r>
    </w:p>
    <w:p>
      <w:pPr>
        <w:pStyle w:val="6"/>
        <w:spacing w:beforeAutospacing="0" w:afterAutospacing="0" w:line="600" w:lineRule="exact"/>
        <w:ind w:firstLine="645"/>
        <w:jc w:val="both"/>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年，淄博市人民政府办公室坚持以习近平新时代中国特色社会主义思想为指导，</w:t>
      </w:r>
      <w:r>
        <w:rPr>
          <w:rFonts w:hint="eastAsia" w:ascii="仿宋" w:hAnsi="仿宋" w:eastAsia="仿宋" w:cs="仿宋"/>
          <w:sz w:val="32"/>
          <w:szCs w:val="32"/>
          <w:lang w:eastAsia="zh-CN"/>
        </w:rPr>
        <w:t>认真落实《中华人民共和国政府信息公开条例》《中共中央办公厅国务院办公厅关于全面推进政务公开工作的意见》等政策法规和国家、省、市部署的各项公开任务，</w:t>
      </w:r>
      <w:r>
        <w:rPr>
          <w:rFonts w:hint="eastAsia" w:ascii="仿宋" w:hAnsi="仿宋" w:eastAsia="仿宋" w:cs="仿宋"/>
          <w:sz w:val="32"/>
          <w:szCs w:val="32"/>
        </w:rPr>
        <w:t>积极履行对全市政府系统信息公开工作的推进、指导、协调、监督职责，</w:t>
      </w:r>
      <w:r>
        <w:rPr>
          <w:rFonts w:hint="eastAsia" w:ascii="仿宋" w:hAnsi="仿宋" w:eastAsia="仿宋" w:cs="仿宋"/>
          <w:sz w:val="32"/>
          <w:szCs w:val="32"/>
          <w:lang w:eastAsia="zh-CN"/>
        </w:rPr>
        <w:t>全面</w:t>
      </w:r>
      <w:r>
        <w:rPr>
          <w:rFonts w:hint="eastAsia" w:ascii="仿宋" w:hAnsi="仿宋" w:eastAsia="仿宋" w:cs="仿宋"/>
          <w:sz w:val="32"/>
          <w:szCs w:val="32"/>
        </w:rPr>
        <w:t>做好</w:t>
      </w:r>
      <w:r>
        <w:rPr>
          <w:rFonts w:hint="eastAsia" w:ascii="仿宋" w:hAnsi="仿宋" w:eastAsia="仿宋" w:cs="仿宋"/>
          <w:sz w:val="32"/>
          <w:szCs w:val="32"/>
          <w:lang w:eastAsia="zh-CN"/>
        </w:rPr>
        <w:t>本机关</w:t>
      </w:r>
      <w:r>
        <w:rPr>
          <w:rFonts w:hint="eastAsia" w:ascii="仿宋" w:hAnsi="仿宋" w:eastAsia="仿宋" w:cs="仿宋"/>
          <w:sz w:val="32"/>
          <w:szCs w:val="32"/>
        </w:rPr>
        <w:t>政府信息公开工作，努力</w:t>
      </w:r>
      <w:r>
        <w:rPr>
          <w:rFonts w:hint="eastAsia" w:ascii="仿宋" w:hAnsi="仿宋" w:eastAsia="仿宋" w:cs="仿宋"/>
          <w:sz w:val="32"/>
          <w:szCs w:val="32"/>
          <w:lang w:eastAsia="zh-CN"/>
        </w:rPr>
        <w:t>保障公众的知情权</w:t>
      </w:r>
      <w:r>
        <w:rPr>
          <w:rFonts w:hint="eastAsia" w:ascii="仿宋" w:hAnsi="仿宋" w:eastAsia="仿宋" w:cs="仿宋"/>
          <w:sz w:val="32"/>
          <w:szCs w:val="32"/>
        </w:rPr>
        <w:t>。</w:t>
      </w:r>
    </w:p>
    <w:p>
      <w:pPr>
        <w:pStyle w:val="6"/>
        <w:spacing w:beforeAutospacing="0" w:afterAutospacing="0" w:line="600" w:lineRule="exact"/>
        <w:ind w:firstLine="645"/>
        <w:jc w:val="both"/>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（一）主动公开情况。</w:t>
      </w:r>
      <w:r>
        <w:rPr>
          <w:rFonts w:hint="eastAsia" w:ascii="仿宋" w:hAnsi="仿宋" w:eastAsia="仿宋" w:cs="仿宋"/>
          <w:sz w:val="32"/>
          <w:szCs w:val="32"/>
          <w:lang w:val="en-US" w:eastAsia="zh-CN"/>
        </w:rPr>
        <w:t xml:space="preserve"> 2021年度，我机关通过“淄博市人民政府”门户网站、《淄博市人民政府公报》等平台主动公开市政府行政规范性文件22件，市政府其他文件205件，市政府人事任免文件44件，对50余件政策文件进行了多形式解读。同时，我机关机构职能、权责清单、负责人分工、公务员招考、事业单位招聘、部门预决算等信息均及时全面通过全市统一的政府信息公平台予以公开。</w:t>
      </w:r>
    </w:p>
    <w:p>
      <w:pPr>
        <w:pStyle w:val="6"/>
        <w:spacing w:beforeAutospacing="0" w:afterAutospacing="0" w:line="600" w:lineRule="exact"/>
        <w:ind w:firstLine="645"/>
        <w:jc w:val="both"/>
        <w:rPr>
          <w:rFonts w:hint="eastAsia" w:ascii="仿宋" w:hAnsi="仿宋" w:eastAsia="仿宋" w:cs="仿宋"/>
          <w:sz w:val="32"/>
          <w:szCs w:val="32"/>
          <w:lang w:val="en-US" w:eastAsia="zh-CN"/>
        </w:rPr>
      </w:pPr>
      <w:r>
        <w:rPr>
          <w:rFonts w:hint="default" w:ascii="仿宋" w:hAnsi="仿宋" w:eastAsia="仿宋" w:cs="仿宋"/>
          <w:sz w:val="32"/>
          <w:szCs w:val="32"/>
          <w:lang w:val="en" w:eastAsia="zh-CN"/>
        </w:rPr>
        <w:t xml:space="preserve"> </w:t>
      </w:r>
      <w:r>
        <w:rPr>
          <w:rFonts w:hint="eastAsia" w:ascii="华文楷体" w:hAnsi="华文楷体" w:eastAsia="华文楷体" w:cs="华文楷体"/>
          <w:sz w:val="32"/>
          <w:szCs w:val="32"/>
          <w:lang w:eastAsia="zh-CN"/>
        </w:rPr>
        <w:t>（二）依申请公开情况。</w:t>
      </w:r>
      <w:r>
        <w:rPr>
          <w:rFonts w:hint="eastAsia" w:ascii="仿宋" w:hAnsi="仿宋" w:eastAsia="仿宋" w:cs="仿宋"/>
          <w:sz w:val="32"/>
          <w:szCs w:val="32"/>
          <w:lang w:val="en-US" w:eastAsia="zh-CN"/>
        </w:rPr>
        <w:t>2021年度，我机关办理以及代市政府办理政府信息公开申请149件，同比增长</w:t>
      </w:r>
      <w:r>
        <w:rPr>
          <w:rFonts w:hint="eastAsia" w:ascii="仿宋" w:hAnsi="仿宋" w:eastAsia="仿宋" w:cs="仿宋"/>
          <w:sz w:val="32"/>
          <w:szCs w:val="32"/>
          <w:highlight w:val="none"/>
          <w:lang w:val="en-US" w:eastAsia="zh-CN"/>
        </w:rPr>
        <w:t>69.32</w:t>
      </w:r>
      <w:r>
        <w:rPr>
          <w:rFonts w:hint="eastAsia" w:ascii="仿宋" w:hAnsi="仿宋" w:eastAsia="仿宋" w:cs="仿宋"/>
          <w:sz w:val="32"/>
          <w:szCs w:val="32"/>
          <w:lang w:val="en-US" w:eastAsia="zh-CN"/>
        </w:rPr>
        <w:t>%。其中自然人申请148件，商业企业申请1件。申请内容主要集中在集体土地征地、国有土地上房屋征收、城乡规划、社会保障等领域。共作出政府信息公开申请答复书152件（含上年结转3件），其中予以公开25件，占16.45%；部分公开28件，占18.42%；不予公开1件，占0.66%；无法提供90件，占59.21%；其它处理8件，占5.26%。</w:t>
      </w:r>
    </w:p>
    <w:p>
      <w:pPr>
        <w:pStyle w:val="6"/>
        <w:spacing w:beforeAutospacing="0" w:afterAutospacing="0" w:line="600" w:lineRule="exact"/>
        <w:ind w:firstLine="645"/>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-365125</wp:posOffset>
            </wp:positionH>
            <wp:positionV relativeFrom="paragraph">
              <wp:posOffset>99060</wp:posOffset>
            </wp:positionV>
            <wp:extent cx="2839085" cy="2837815"/>
            <wp:effectExtent l="4445" t="5080" r="13970"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2509520</wp:posOffset>
            </wp:positionH>
            <wp:positionV relativeFrom="paragraph">
              <wp:posOffset>92075</wp:posOffset>
            </wp:positionV>
            <wp:extent cx="3041650" cy="2847975"/>
            <wp:effectExtent l="4445" t="4445" r="20955" b="508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华文楷体" w:hAnsi="华文楷体" w:eastAsia="华文楷体" w:cs="华文楷体"/>
          <w:sz w:val="32"/>
          <w:szCs w:val="32"/>
          <w:lang w:eastAsia="zh-CN"/>
        </w:rPr>
        <w:t>（三）政府信息管理情况。</w:t>
      </w:r>
      <w:r>
        <w:rPr>
          <w:rFonts w:hint="eastAsia" w:ascii="仿宋" w:hAnsi="仿宋" w:eastAsia="仿宋" w:cs="仿宋"/>
          <w:sz w:val="32"/>
          <w:szCs w:val="32"/>
          <w:lang w:eastAsia="zh-CN"/>
        </w:rPr>
        <w:t>严格落实政府信息公开属性源头认定机制，市政府及市政府办公室文件拟稿纸均设有公开属性选项，文件正文均在固定位置标注公开属</w:t>
      </w:r>
      <w:r>
        <w:drawing>
          <wp:anchor distT="0" distB="0" distL="114300" distR="114300" simplePos="0" relativeHeight="251662336" behindDoc="0" locked="0" layoutInCell="1" allowOverlap="1">
            <wp:simplePos x="0" y="0"/>
            <wp:positionH relativeFrom="column">
              <wp:posOffset>-417195</wp:posOffset>
            </wp:positionH>
            <wp:positionV relativeFrom="paragraph">
              <wp:posOffset>391795</wp:posOffset>
            </wp:positionV>
            <wp:extent cx="2853055" cy="3085465"/>
            <wp:effectExtent l="9525" t="9525" r="13970" b="10160"/>
            <wp:wrapTopAndBottom/>
            <wp:docPr id="7"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true"/>
                    </pic:cNvPicPr>
                  </pic:nvPicPr>
                  <pic:blipFill>
                    <a:blip r:embed="rId7"/>
                    <a:stretch>
                      <a:fillRect/>
                    </a:stretch>
                  </pic:blipFill>
                  <pic:spPr>
                    <a:xfrm>
                      <a:off x="0" y="0"/>
                      <a:ext cx="2853055" cy="3085465"/>
                    </a:xfrm>
                    <a:prstGeom prst="rect">
                      <a:avLst/>
                    </a:prstGeom>
                    <a:noFill/>
                    <a:ln>
                      <a:solidFill>
                        <a:schemeClr val="tx2"/>
                      </a:solidFill>
                    </a:ln>
                  </pic:spPr>
                </pic:pic>
              </a:graphicData>
            </a:graphic>
          </wp:anchor>
        </w:drawing>
      </w:r>
      <w:r>
        <w:drawing>
          <wp:anchor distT="0" distB="0" distL="114300" distR="114300" simplePos="0" relativeHeight="251661312" behindDoc="0" locked="0" layoutInCell="1" allowOverlap="1">
            <wp:simplePos x="0" y="0"/>
            <wp:positionH relativeFrom="column">
              <wp:posOffset>2463165</wp:posOffset>
            </wp:positionH>
            <wp:positionV relativeFrom="paragraph">
              <wp:posOffset>399415</wp:posOffset>
            </wp:positionV>
            <wp:extent cx="2905125" cy="3088640"/>
            <wp:effectExtent l="9525" t="9525" r="19050" b="26035"/>
            <wp:wrapTopAndBottom/>
            <wp:docPr id="6"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true"/>
                    </pic:cNvPicPr>
                  </pic:nvPicPr>
                  <pic:blipFill>
                    <a:blip r:embed="rId8"/>
                    <a:stretch>
                      <a:fillRect/>
                    </a:stretch>
                  </pic:blipFill>
                  <pic:spPr>
                    <a:xfrm>
                      <a:off x="0" y="0"/>
                      <a:ext cx="2905125" cy="3088640"/>
                    </a:xfrm>
                    <a:prstGeom prst="rect">
                      <a:avLst/>
                    </a:prstGeom>
                    <a:noFill/>
                    <a:ln>
                      <a:solidFill>
                        <a:schemeClr val="tx2"/>
                      </a:solidFill>
                    </a:ln>
                  </pic:spPr>
                </pic:pic>
              </a:graphicData>
            </a:graphic>
          </wp:anchor>
        </w:drawing>
      </w:r>
      <w:r>
        <w:rPr>
          <w:rFonts w:hint="eastAsia" w:ascii="仿宋" w:hAnsi="仿宋" w:eastAsia="仿宋" w:cs="仿宋"/>
          <w:sz w:val="32"/>
          <w:szCs w:val="32"/>
          <w:lang w:eastAsia="zh-CN"/>
        </w:rPr>
        <w:t>性。在市政府网站设置“政策文件公开”专题，集中发布市政府及市政府部门制定的各类政策文件。对已发布的市政府文件进行全面梳理，实现了按主题、按文种、按年份分类公开。升级政府信息公开平台高级搜索引擎，可根据设定的条件实现精确检索</w:t>
      </w:r>
      <w:r>
        <w:rPr>
          <w:rFonts w:hint="eastAsia" w:ascii="仿宋" w:hAnsi="仿宋" w:eastAsia="仿宋" w:cs="仿宋"/>
          <w:sz w:val="32"/>
          <w:szCs w:val="32"/>
          <w:lang w:val="en-US" w:eastAsia="zh-CN"/>
        </w:rPr>
        <w:t>，同时实现按访问者“个人”或“企业”身份精准推送相关信息。另外，组织对市政府颁布的所有规章进行梳理，将现行有效的33部规章按照统一模板进行集中公开。</w:t>
      </w:r>
    </w:p>
    <w:p>
      <w:pPr>
        <w:pStyle w:val="6"/>
        <w:spacing w:beforeAutospacing="0" w:afterAutospacing="0" w:line="600" w:lineRule="exact"/>
        <w:ind w:firstLine="645"/>
        <w:jc w:val="both"/>
        <w:rPr>
          <w:rFonts w:hint="default"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（四）政府信息公开平台建设情况。</w:t>
      </w:r>
      <w:r>
        <w:rPr>
          <w:rFonts w:hint="eastAsia" w:ascii="仿宋" w:hAnsi="仿宋" w:eastAsia="仿宋" w:cs="仿宋"/>
          <w:sz w:val="32"/>
          <w:szCs w:val="32"/>
          <w:lang w:val="en-US" w:eastAsia="zh-CN"/>
        </w:rPr>
        <w:t>经过试运行并完善，全市统一的政府信息公开平台5月份通过验收正式投入使用，覆盖市、区县、镇办三级569个行政事业单位。规范政府公报编发，全年出刊14期，每期</w:t>
      </w:r>
      <w:r>
        <w:rPr>
          <w:rFonts w:hint="eastAsia" w:ascii="仿宋" w:hAnsi="仿宋" w:eastAsia="仿宋" w:cs="仿宋"/>
          <w:sz w:val="32"/>
          <w:szCs w:val="32"/>
          <w:highlight w:val="none"/>
          <w:lang w:val="en-US" w:eastAsia="zh-CN"/>
        </w:rPr>
        <w:t>赠阅4600余</w:t>
      </w:r>
      <w:r>
        <w:rPr>
          <w:rFonts w:hint="eastAsia" w:ascii="仿宋" w:hAnsi="仿宋" w:eastAsia="仿宋" w:cs="仿宋"/>
          <w:sz w:val="32"/>
          <w:szCs w:val="32"/>
          <w:lang w:val="en-US" w:eastAsia="zh-CN"/>
        </w:rPr>
        <w:t>份，同时在基层村（居、社区）委员会和县以上图书馆、档案馆、综合服务大厅等公共场所设置免费取阅点。与市</w:t>
      </w:r>
      <w:r>
        <w:drawing>
          <wp:anchor distT="0" distB="0" distL="114300" distR="114300" simplePos="0" relativeHeight="251666432" behindDoc="1" locked="0" layoutInCell="1" allowOverlap="1">
            <wp:simplePos x="0" y="0"/>
            <wp:positionH relativeFrom="column">
              <wp:posOffset>0</wp:posOffset>
            </wp:positionH>
            <wp:positionV relativeFrom="paragraph">
              <wp:posOffset>398145</wp:posOffset>
            </wp:positionV>
            <wp:extent cx="2625090" cy="3791585"/>
            <wp:effectExtent l="9525" t="9525" r="70485" b="66040"/>
            <wp:wrapTight wrapText="bothSides">
              <wp:wrapPolygon>
                <wp:start x="-78" y="-54"/>
                <wp:lineTo x="-78" y="21542"/>
                <wp:lineTo x="21553" y="21542"/>
                <wp:lineTo x="21553" y="-54"/>
                <wp:lineTo x="-78" y="-54"/>
              </wp:wrapPolygon>
            </wp:wrapTight>
            <wp:docPr id="11"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true"/>
                    </pic:cNvPicPr>
                  </pic:nvPicPr>
                  <pic:blipFill>
                    <a:blip r:embed="rId9"/>
                    <a:stretch>
                      <a:fillRect/>
                    </a:stretch>
                  </pic:blipFill>
                  <pic:spPr>
                    <a:xfrm>
                      <a:off x="0" y="0"/>
                      <a:ext cx="2625090" cy="3791585"/>
                    </a:xfrm>
                    <a:prstGeom prst="rect">
                      <a:avLst/>
                    </a:prstGeom>
                    <a:noFill/>
                    <a:ln>
                      <a:solidFill>
                        <a:schemeClr val="tx2"/>
                      </a:solidFill>
                    </a:ln>
                  </pic:spPr>
                </pic:pic>
              </a:graphicData>
            </a:graphic>
          </wp:anchor>
        </w:drawing>
      </w:r>
      <w:r>
        <w:rPr>
          <w:rFonts w:hint="eastAsia" w:ascii="仿宋" w:hAnsi="仿宋" w:eastAsia="仿宋" w:cs="仿宋"/>
          <w:sz w:val="32"/>
          <w:szCs w:val="32"/>
          <w:lang w:val="en-US" w:eastAsia="zh-CN"/>
        </w:rPr>
        <w:t>政府新闻办联合制定《关于加强政府新闻发布推进政务公开工作实施方案》，筹划确定推进乡村振兴、全域公园建设、“无证明城市”、民生实事等重点新闻发布计划，全年组织新闻发布会超过100场。另外，着力规范市档案馆、市图书馆信息查阅点及市政务服务大厅公开专区建设，设施功能和服务能力得到进一步提升。</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drawing>
          <wp:anchor distT="0" distB="0" distL="114300" distR="114300" simplePos="0" relativeHeight="251663360" behindDoc="1" locked="0" layoutInCell="1" allowOverlap="1">
            <wp:simplePos x="0" y="0"/>
            <wp:positionH relativeFrom="column">
              <wp:posOffset>-126365</wp:posOffset>
            </wp:positionH>
            <wp:positionV relativeFrom="paragraph">
              <wp:posOffset>505460</wp:posOffset>
            </wp:positionV>
            <wp:extent cx="4386580" cy="2446020"/>
            <wp:effectExtent l="9525" t="9525" r="0" b="0"/>
            <wp:wrapTight wrapText="bothSides">
              <wp:wrapPolygon>
                <wp:start x="-47" y="-84"/>
                <wp:lineTo x="-47" y="21449"/>
                <wp:lineTo x="21528" y="21449"/>
                <wp:lineTo x="21528" y="-84"/>
                <wp:lineTo x="-47" y="-84"/>
              </wp:wrapPolygon>
            </wp:wrapTight>
            <wp:docPr id="10" name="图片 10" descr="c93cd4fed999f49d45400d4ebd25dd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c93cd4fed999f49d45400d4ebd25dd8"/>
                    <pic:cNvPicPr>
                      <a:picLocks noChangeAspect="true"/>
                    </pic:cNvPicPr>
                  </pic:nvPicPr>
                  <pic:blipFill>
                    <a:blip r:embed="rId10"/>
                    <a:stretch>
                      <a:fillRect/>
                    </a:stretch>
                  </pic:blipFill>
                  <pic:spPr>
                    <a:xfrm>
                      <a:off x="0" y="0"/>
                      <a:ext cx="4386580" cy="2446020"/>
                    </a:xfrm>
                    <a:prstGeom prst="rect">
                      <a:avLst/>
                    </a:prstGeom>
                    <a:ln>
                      <a:solidFill>
                        <a:schemeClr val="tx2"/>
                      </a:solidFill>
                    </a:ln>
                  </pic:spPr>
                </pic:pic>
              </a:graphicData>
            </a:graphic>
          </wp:anchor>
        </w:drawing>
      </w:r>
      <w:r>
        <w:rPr>
          <w:rFonts w:hint="eastAsia" w:ascii="华文楷体" w:hAnsi="华文楷体" w:eastAsia="华文楷体" w:cs="华文楷体"/>
          <w:sz w:val="32"/>
          <w:szCs w:val="32"/>
          <w:lang w:val="en-US" w:eastAsia="zh-CN" w:bidi="ar-SA"/>
        </w:rPr>
        <w:t>（五）监督保障情况。</w:t>
      </w:r>
      <w:r>
        <w:rPr>
          <w:rFonts w:hint="eastAsia" w:ascii="仿宋" w:hAnsi="仿宋" w:eastAsia="仿宋" w:cs="仿宋"/>
          <w:sz w:val="32"/>
          <w:szCs w:val="32"/>
          <w:lang w:val="en-US" w:eastAsia="zh-CN" w:bidi="ar-SA"/>
        </w:rPr>
        <w:t>推动将政务公开列为领导干部学法内容，年内组织部分区县政府分管负责人到省委党校参加政务公开专题培训，连同去年培训，5区3县政府分管负责人均接受一轮培训。推动将政务公开政策法规纳入公务员培训内容，当年118名新录用公务员接受培训。组织强化</w:t>
      </w:r>
    </w:p>
    <w:p>
      <w:pP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br w:type="page"/>
      </w: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sz w:val="32"/>
          <w:szCs w:val="32"/>
          <w:lang w:val="en-US" w:eastAsia="zh-CN" w:bidi="ar-SA"/>
        </w:rPr>
      </w:pPr>
      <w:r>
        <w:drawing>
          <wp:anchor distT="0" distB="0" distL="114300" distR="114300" simplePos="0" relativeHeight="251665408" behindDoc="1" locked="0" layoutInCell="1" allowOverlap="1">
            <wp:simplePos x="0" y="0"/>
            <wp:positionH relativeFrom="column">
              <wp:posOffset>100965</wp:posOffset>
            </wp:positionH>
            <wp:positionV relativeFrom="paragraph">
              <wp:posOffset>4345940</wp:posOffset>
            </wp:positionV>
            <wp:extent cx="2803525" cy="4117340"/>
            <wp:effectExtent l="9525" t="9525" r="25400" b="26035"/>
            <wp:wrapTight wrapText="bothSides">
              <wp:wrapPolygon>
                <wp:start x="-73" y="-50"/>
                <wp:lineTo x="-73" y="21537"/>
                <wp:lineTo x="21502" y="21537"/>
                <wp:lineTo x="21502" y="-50"/>
                <wp:lineTo x="-73" y="-50"/>
              </wp:wrapPolygon>
            </wp:wrapTight>
            <wp:docPr id="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true"/>
                    </pic:cNvPicPr>
                  </pic:nvPicPr>
                  <pic:blipFill>
                    <a:blip r:embed="rId11"/>
                    <a:stretch>
                      <a:fillRect/>
                    </a:stretch>
                  </pic:blipFill>
                  <pic:spPr>
                    <a:xfrm>
                      <a:off x="0" y="0"/>
                      <a:ext cx="2803525" cy="4117340"/>
                    </a:xfrm>
                    <a:prstGeom prst="rect">
                      <a:avLst/>
                    </a:prstGeom>
                    <a:noFill/>
                    <a:ln>
                      <a:solidFill>
                        <a:schemeClr val="tx2"/>
                      </a:solidFill>
                    </a:ln>
                  </pic:spPr>
                </pic:pic>
              </a:graphicData>
            </a:graphic>
          </wp:anchor>
        </w:drawing>
      </w:r>
      <w:r>
        <w:rPr>
          <w:rFonts w:hint="eastAsia" w:ascii="仿宋" w:hAnsi="仿宋" w:eastAsia="仿宋" w:cs="仿宋"/>
          <w:sz w:val="32"/>
          <w:szCs w:val="32"/>
          <w:lang w:val="en-US" w:eastAsia="zh-CN" w:bidi="ar-SA"/>
        </w:rPr>
        <w:t>业务培训，年内采取多种形式直接培训政务公开工作人员2000余人次。召开省市考核工作总结会，对工作中存在的问题进行分析点评并落实整改。</w:t>
      </w:r>
      <w:r>
        <w:rPr>
          <w:rFonts w:hint="eastAsia" w:ascii="仿宋" w:hAnsi="仿宋" w:eastAsia="仿宋" w:cs="仿宋"/>
          <w:sz w:val="32"/>
          <w:szCs w:val="32"/>
          <w:lang w:val="en-US" w:eastAsia="zh-CN" w:bidi="ar-SA"/>
        </w:rPr>
        <w:drawing>
          <wp:anchor distT="0" distB="0" distL="114300" distR="114300" simplePos="0" relativeHeight="251664384" behindDoc="1" locked="0" layoutInCell="1" allowOverlap="1">
            <wp:simplePos x="0" y="0"/>
            <wp:positionH relativeFrom="column">
              <wp:posOffset>1003935</wp:posOffset>
            </wp:positionH>
            <wp:positionV relativeFrom="paragraph">
              <wp:posOffset>630555</wp:posOffset>
            </wp:positionV>
            <wp:extent cx="4203065" cy="2662555"/>
            <wp:effectExtent l="9525" t="9525" r="0" b="0"/>
            <wp:wrapTight wrapText="bothSides">
              <wp:wrapPolygon>
                <wp:start x="-49" y="-77"/>
                <wp:lineTo x="-49" y="21559"/>
                <wp:lineTo x="21587" y="21559"/>
                <wp:lineTo x="21587" y="-77"/>
                <wp:lineTo x="-49" y="-77"/>
              </wp:wrapPolygon>
            </wp:wrapTight>
            <wp:docPr id="9" name="图片 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true"/>
                    </pic:cNvPicPr>
                  </pic:nvPicPr>
                  <pic:blipFill>
                    <a:blip r:embed="rId12"/>
                    <a:stretch>
                      <a:fillRect/>
                    </a:stretch>
                  </pic:blipFill>
                  <pic:spPr>
                    <a:xfrm>
                      <a:off x="0" y="0"/>
                      <a:ext cx="4203065" cy="2662555"/>
                    </a:xfrm>
                    <a:prstGeom prst="rect">
                      <a:avLst/>
                    </a:prstGeom>
                    <a:noFill/>
                    <a:ln w="9525">
                      <a:solidFill>
                        <a:schemeClr val="tx2"/>
                      </a:solidFill>
                    </a:ln>
                  </pic:spPr>
                </pic:pic>
              </a:graphicData>
            </a:graphic>
          </wp:anchor>
        </w:drawing>
      </w:r>
      <w:r>
        <w:rPr>
          <w:rFonts w:hint="eastAsia" w:ascii="仿宋" w:hAnsi="仿宋" w:eastAsia="仿宋" w:cs="仿宋"/>
          <w:sz w:val="32"/>
          <w:szCs w:val="32"/>
          <w:lang w:val="en-US" w:eastAsia="zh-CN" w:bidi="ar-SA"/>
        </w:rPr>
        <w:t>组织开展政府信息依申请公开工作模拟暗访，邀请律师和法官对暗访情况进行点评、对提高行政应诉能力进行辅导，市、区县、镇办三级共计570余人参加。推动将政务公开纳入市对区县高质量发展综合绩效考核，并于年中组织开展了中期评估。自8月份起每月与区县开展一次会商研判，分析存在问题，研究提升措施。加强日常检查，全年印发7期工作通报，引导政务公开工作常态化开展。</w:t>
      </w:r>
    </w:p>
    <w:p>
      <w:pPr>
        <w:rPr>
          <w:rFonts w:hint="eastAsia" w:ascii="黑体" w:hAnsi="黑体" w:eastAsia="黑体" w:cs="黑体"/>
          <w:sz w:val="32"/>
          <w:szCs w:val="32"/>
        </w:rPr>
      </w:pPr>
      <w:r>
        <w:rPr>
          <w:rFonts w:hint="eastAsia" w:ascii="黑体" w:hAnsi="黑体" w:eastAsia="黑体" w:cs="黑体"/>
          <w:sz w:val="32"/>
          <w:szCs w:val="32"/>
        </w:rPr>
        <w:br w:type="page"/>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7"/>
        <w:tblW w:w="4977" w:type="pct"/>
        <w:tblInd w:w="0" w:type="dxa"/>
        <w:tblLayout w:type="autofit"/>
        <w:tblCellMar>
          <w:top w:w="0" w:type="dxa"/>
          <w:left w:w="108" w:type="dxa"/>
          <w:bottom w:w="0" w:type="dxa"/>
          <w:right w:w="108" w:type="dxa"/>
        </w:tblCellMar>
      </w:tblPr>
      <w:tblGrid>
        <w:gridCol w:w="2120"/>
        <w:gridCol w:w="2121"/>
        <w:gridCol w:w="2121"/>
        <w:gridCol w:w="2121"/>
      </w:tblGrid>
      <w:tr>
        <w:tblPrEx>
          <w:tblCellMar>
            <w:top w:w="0" w:type="dxa"/>
            <w:left w:w="108" w:type="dxa"/>
            <w:bottom w:w="0" w:type="dxa"/>
            <w:right w:w="108" w:type="dxa"/>
          </w:tblCellMar>
        </w:tblPrEx>
        <w:trPr>
          <w:trHeight w:val="454"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33</w:t>
            </w:r>
            <w:bookmarkStart w:id="10" w:name="_GoBack"/>
            <w:bookmarkEnd w:id="10"/>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25</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6</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46</w:t>
            </w:r>
          </w:p>
        </w:tc>
      </w:tr>
      <w:tr>
        <w:tblPrEx>
          <w:tblCellMar>
            <w:top w:w="0" w:type="dxa"/>
            <w:left w:w="108" w:type="dxa"/>
            <w:bottom w:w="0" w:type="dxa"/>
            <w:right w:w="108" w:type="dxa"/>
          </w:tblCellMar>
        </w:tblPrEx>
        <w:trPr>
          <w:trHeight w:val="454"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454"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454"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spacing w:line="600" w:lineRule="exact"/>
        <w:ind w:firstLine="640" w:firstLineChars="200"/>
        <w:jc w:val="both"/>
        <w:outlineLvl w:val="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7"/>
        <w:tblW w:w="92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1"/>
        <w:gridCol w:w="1695"/>
        <w:gridCol w:w="2884"/>
        <w:gridCol w:w="559"/>
        <w:gridCol w:w="567"/>
        <w:gridCol w:w="567"/>
        <w:gridCol w:w="731"/>
        <w:gridCol w:w="708"/>
        <w:gridCol w:w="441"/>
        <w:gridCol w:w="6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00"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r>
              <w:rPr>
                <w:rFonts w:hint="eastAsia" w:ascii="楷体_GB2312" w:hAnsi="黑体" w:eastAsia="楷体_GB2312"/>
                <w:kern w:val="0"/>
                <w:szCs w:val="21"/>
              </w:rPr>
              <w:t>（本列数据的勾稽关系为：第一项加第二项之和，等于第三项加第四项之和）</w:t>
            </w:r>
          </w:p>
        </w:tc>
        <w:tc>
          <w:tcPr>
            <w:tcW w:w="4254"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00"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p>
        </w:tc>
        <w:tc>
          <w:tcPr>
            <w:tcW w:w="559"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自然人</w:t>
            </w:r>
          </w:p>
        </w:tc>
        <w:tc>
          <w:tcPr>
            <w:tcW w:w="3014"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法人或其他组织</w:t>
            </w:r>
          </w:p>
        </w:tc>
        <w:tc>
          <w:tcPr>
            <w:tcW w:w="68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00"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p>
        </w:tc>
        <w:tc>
          <w:tcPr>
            <w:tcW w:w="559"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hanging="1"/>
              <w:jc w:val="center"/>
              <w:textAlignment w:val="auto"/>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其他</w:t>
            </w:r>
          </w:p>
        </w:tc>
        <w:tc>
          <w:tcPr>
            <w:tcW w:w="68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00"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148</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00"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三、本年度办理结果</w:t>
            </w:r>
          </w:p>
        </w:tc>
        <w:tc>
          <w:tcPr>
            <w:tcW w:w="4579"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（一）予以公开</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25</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4579"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27</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r>
              <w:rPr>
                <w:rFonts w:hint="eastAsia" w:ascii="黑体" w:hAnsi="黑体" w:eastAsia="黑体"/>
                <w:spacing w:val="-20"/>
                <w:kern w:val="0"/>
                <w:szCs w:val="21"/>
              </w:rPr>
              <w:t>（三）不予公开</w:t>
            </w: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r>
              <w:rPr>
                <w:rFonts w:hint="eastAsia" w:ascii="黑体" w:hAnsi="黑体" w:eastAsia="黑体"/>
                <w:spacing w:val="-20"/>
                <w:kern w:val="0"/>
                <w:szCs w:val="21"/>
              </w:rPr>
              <w:t>（四）无法提供</w:t>
            </w: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43</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47</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r>
              <w:rPr>
                <w:rFonts w:hint="eastAsia" w:ascii="黑体" w:hAnsi="黑体" w:eastAsia="黑体"/>
                <w:spacing w:val="-20"/>
                <w:kern w:val="0"/>
                <w:szCs w:val="21"/>
              </w:rPr>
              <w:t>（五）不予处理</w:t>
            </w: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8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22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kern w:val="0"/>
                <w:szCs w:val="21"/>
              </w:rPr>
            </w:pPr>
            <w:r>
              <w:rPr>
                <w:rFonts w:hint="eastAsia" w:ascii="黑体" w:hAnsi="黑体" w:eastAsia="黑体"/>
                <w:spacing w:val="-20"/>
                <w:kern w:val="0"/>
                <w:szCs w:val="21"/>
              </w:rPr>
              <w:t>（六）其他处理</w:t>
            </w:r>
          </w:p>
        </w:tc>
        <w:tc>
          <w:tcPr>
            <w:tcW w:w="288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p>
        </w:tc>
        <w:tc>
          <w:tcPr>
            <w:tcW w:w="288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p>
        </w:tc>
        <w:tc>
          <w:tcPr>
            <w:tcW w:w="288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楷体" w:eastAsia="仿宋_GB2312"/>
              </w:rPr>
              <w:t>3.其他</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8</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4579"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r>
              <w:rPr>
                <w:rFonts w:hint="eastAsia" w:ascii="黑体" w:hAnsi="黑体" w:eastAsia="黑体"/>
                <w:kern w:val="0"/>
                <w:szCs w:val="21"/>
              </w:rPr>
              <w:t>（七）总计</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151</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000"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r>
              <w:rPr>
                <w:rFonts w:hint="eastAsia" w:ascii="黑体" w:hAnsi="黑体" w:eastAsia="黑体"/>
                <w:kern w:val="0"/>
                <w:szCs w:val="21"/>
              </w:rPr>
              <w:t>四、结转下年度继续办理</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spacing w:line="600" w:lineRule="exact"/>
        <w:ind w:firstLine="640" w:firstLineChars="200"/>
        <w:jc w:val="both"/>
        <w:outlineLvl w:val="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56" w:leftChars="-71" w:right="-178" w:rightChars="-81"/>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val="0"/>
              <w:snapToGrid w:val="0"/>
              <w:spacing w:after="0"/>
              <w:ind w:left="-156" w:leftChars="-71" w:right="-178"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45" w:leftChars="-21" w:right="-139"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86" w:leftChars="-39" w:right="-101"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23" w:leftChars="-56" w:right="-123" w:rightChars="-56"/>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val="0"/>
              <w:snapToGrid w:val="0"/>
              <w:spacing w:after="0"/>
              <w:ind w:left="-123" w:leftChars="-56" w:right="-123"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10" w:leftChars="-50" w:right="-132"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90" w:leftChars="-41" w:right="-92"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32" w:leftChars="-60" w:right="-143" w:rightChars="-65"/>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val="0"/>
              <w:snapToGrid w:val="0"/>
              <w:spacing w:after="0"/>
              <w:ind w:left="-132" w:leftChars="-60" w:right="-143"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71" w:leftChars="-78" w:right="-161" w:rightChars="-73"/>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val="0"/>
              <w:snapToGrid w:val="0"/>
              <w:spacing w:after="0"/>
              <w:ind w:left="-171" w:leftChars="-78" w:right="-161"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03" w:leftChars="-47" w:right="-81"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43" w:leftChars="-65" w:right="-130" w:rightChars="-59"/>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val="0"/>
              <w:snapToGrid w:val="0"/>
              <w:spacing w:after="0"/>
              <w:ind w:left="-143" w:leftChars="-65" w:right="-130"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81" w:leftChars="-83" w:right="-141"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val="0"/>
              <w:snapToGrid w:val="0"/>
              <w:spacing w:after="0"/>
              <w:ind w:left="-181" w:leftChars="-83" w:right="-141"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71" w:leftChars="-33" w:right="-110"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3</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1</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1</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5</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1</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1</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宋体"/>
                <w:lang w:val="en-US" w:eastAsia="zh-CN"/>
              </w:rPr>
            </w:pPr>
            <w:r>
              <w:rPr>
                <w:rFonts w:hint="eastAsia" w:ascii="Times New Roman" w:hAnsi="Times New Roman"/>
                <w:lang w:val="en-US" w:eastAsia="zh-CN"/>
              </w:rPr>
              <w:t>2</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lang w:val="en-US" w:eastAsia="zh-CN"/>
              </w:rPr>
            </w:pPr>
            <w:r>
              <w:rPr>
                <w:rFonts w:hint="eastAsia" w:ascii="Times New Roman" w:hAnsi="Times New Roman"/>
                <w:lang w:val="en-US" w:eastAsia="zh-CN"/>
              </w:rPr>
              <w:t>2</w:t>
            </w:r>
          </w:p>
        </w:tc>
      </w:tr>
    </w:tbl>
    <w:p>
      <w:pPr>
        <w:keepNext w:val="0"/>
        <w:keepLines w:val="0"/>
        <w:pageBreakBefore w:val="0"/>
        <w:widowControl/>
        <w:kinsoku/>
        <w:wordWrap/>
        <w:overflowPunct/>
        <w:topLinePunct w:val="0"/>
        <w:autoSpaceDE/>
        <w:autoSpaceDN/>
        <w:bidi w:val="0"/>
        <w:adjustRightInd w:val="0"/>
        <w:snapToGrid w:val="0"/>
        <w:spacing w:before="120" w:after="120" w:line="600" w:lineRule="exact"/>
        <w:ind w:firstLine="640" w:firstLineChars="200"/>
        <w:jc w:val="both"/>
        <w:textAlignment w:val="auto"/>
        <w:outlineLvl w:val="0"/>
        <w:rPr>
          <w:rFonts w:ascii="黑体" w:hAnsi="黑体" w:eastAsia="黑体" w:cs="黑体"/>
          <w:sz w:val="32"/>
          <w:szCs w:val="32"/>
        </w:rPr>
      </w:pPr>
      <w:r>
        <w:rPr>
          <w:rFonts w:hint="eastAsia" w:ascii="黑体" w:hAnsi="黑体" w:eastAsia="黑体" w:cs="黑体"/>
          <w:sz w:val="32"/>
          <w:szCs w:val="32"/>
        </w:rPr>
        <w:t>五、存在的主要问题及改进情况</w:t>
      </w:r>
    </w:p>
    <w:p>
      <w:pPr>
        <w:pStyle w:val="6"/>
        <w:spacing w:beforeAutospacing="0" w:afterAutospacing="0" w:line="600" w:lineRule="exact"/>
        <w:ind w:firstLine="645"/>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针对全市及本机关工作中存在的公开意识不到位、公开氛围不浓、依申请公开不够规范等问题，本年度有针对性地采取措施加以改进，取得明显成效：</w:t>
      </w:r>
    </w:p>
    <w:p>
      <w:pPr>
        <w:pStyle w:val="6"/>
        <w:spacing w:beforeAutospacing="0" w:afterAutospacing="0" w:line="600" w:lineRule="exact"/>
        <w:ind w:firstLine="645"/>
        <w:jc w:val="both"/>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（一）加强法规宣贯，提升政府工作人员公开意识。</w:t>
      </w:r>
      <w:r>
        <w:rPr>
          <w:rFonts w:hint="eastAsia" w:ascii="仿宋" w:hAnsi="仿宋" w:eastAsia="仿宋" w:cs="仿宋"/>
          <w:sz w:val="32"/>
          <w:szCs w:val="32"/>
          <w:lang w:val="en-US" w:eastAsia="zh-CN"/>
        </w:rPr>
        <w:t>将政务公开政策法规纳入公务员初任培训、任职培训、业务培训和在职培训内容，全面提升政府工作人员法治思维和依法公开意识，形成人人懂政务公开、人人参与政务公开的工作局面。</w:t>
      </w:r>
    </w:p>
    <w:p>
      <w:pPr>
        <w:pStyle w:val="6"/>
        <w:spacing w:beforeAutospacing="0" w:afterAutospacing="0" w:line="600" w:lineRule="exact"/>
        <w:ind w:firstLine="645"/>
        <w:jc w:val="both"/>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（二）调整工作思路，推动“三个转变”落到实处。</w:t>
      </w:r>
      <w:r>
        <w:rPr>
          <w:rFonts w:hint="eastAsia" w:ascii="仿宋" w:hAnsi="仿宋" w:eastAsia="仿宋" w:cs="仿宋"/>
          <w:sz w:val="32"/>
          <w:szCs w:val="32"/>
          <w:lang w:val="en-US" w:eastAsia="zh-CN"/>
        </w:rPr>
        <w:t>从理念思路上、工作指导上、具体措施上进行调整，特别是将年度政务公开工作任务清单化分解到市、区县各政府各部门乃至各科室，全面推动“三个转变”落地落实，真正把政务公开融入到每一项业务工作中去，将责任落实到每一名政府工作人员身上。</w:t>
      </w:r>
    </w:p>
    <w:p>
      <w:pPr>
        <w:pStyle w:val="6"/>
        <w:spacing w:beforeAutospacing="0" w:afterAutospacing="0" w:line="600" w:lineRule="exact"/>
        <w:ind w:firstLine="645"/>
        <w:jc w:val="both"/>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（三）加强业务指导，推进基层政务公开标准化规范化。</w:t>
      </w:r>
      <w:r>
        <w:rPr>
          <w:rFonts w:hint="eastAsia" w:ascii="仿宋" w:hAnsi="仿宋" w:eastAsia="仿宋" w:cs="仿宋"/>
          <w:sz w:val="32"/>
          <w:szCs w:val="32"/>
          <w:lang w:val="en-US" w:eastAsia="zh-CN"/>
        </w:rPr>
        <w:t>坚持重心下沉，将市级组织的政务公开教育培训、业务研讨尽最大可能扩展辐射到区县部门和镇办；加强区县层面业务培训，增加培训频次，解决基层“不会公开”的问题。通过座谈交流、单独对接、调研督导、现场观摩等多种方式，指导督促区县及其部门、镇办不断完善公开目录，扩大公开范围，拓展公开渠道，推行公开任务清单制管理，提升基层政务公开标准化规范化水平。</w:t>
      </w:r>
    </w:p>
    <w:p>
      <w:pPr>
        <w:pStyle w:val="6"/>
        <w:spacing w:beforeAutospacing="0" w:afterAutospacing="0" w:line="600" w:lineRule="exact"/>
        <w:ind w:firstLine="645"/>
        <w:jc w:val="both"/>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（四）强化督促检查，夯实政务公开责任落实。</w:t>
      </w:r>
      <w:r>
        <w:rPr>
          <w:rFonts w:hint="eastAsia" w:ascii="仿宋" w:hAnsi="仿宋" w:eastAsia="仿宋" w:cs="仿宋"/>
          <w:sz w:val="32"/>
          <w:szCs w:val="32"/>
          <w:lang w:val="en-US" w:eastAsia="zh-CN"/>
        </w:rPr>
        <w:t>加大日常调度检查力度，将区县和部门政务公开工作列入政府督查事项，推动区县充实加强政务公开工作力量，做到机构健全、力量匹配、责任落实，保障工作正常开展。委托第三方机构对区县政府、市直部门单位开展了两轮评估，督促抓好整改提升。</w:t>
      </w:r>
    </w:p>
    <w:p>
      <w:pPr>
        <w:spacing w:beforeLines="50" w:after="120" w:line="600" w:lineRule="exact"/>
        <w:ind w:firstLine="640" w:firstLineChars="200"/>
        <w:jc w:val="both"/>
        <w:outlineLvl w:val="0"/>
        <w:rPr>
          <w:rFonts w:hint="eastAsia" w:ascii="黑体" w:hAnsi="黑体" w:eastAsia="黑体" w:cs="黑体"/>
          <w:sz w:val="32"/>
          <w:szCs w:val="32"/>
        </w:rPr>
      </w:pPr>
      <w:r>
        <w:rPr>
          <w:rFonts w:hint="eastAsia" w:ascii="黑体" w:hAnsi="黑体" w:eastAsia="黑体" w:cs="黑体"/>
          <w:sz w:val="32"/>
          <w:szCs w:val="32"/>
        </w:rPr>
        <w:t>六、其他需要报告的事项</w:t>
      </w:r>
    </w:p>
    <w:p>
      <w:pPr>
        <w:pStyle w:val="6"/>
        <w:spacing w:beforeAutospacing="0" w:afterAutospacing="0" w:line="600" w:lineRule="exact"/>
        <w:ind w:firstLine="645"/>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1.2021年度，我机关在办理以及代市政府办理政府信息公开申请过程中，未收取任何信息处理费。</w:t>
      </w:r>
    </w:p>
    <w:p>
      <w:pPr>
        <w:pStyle w:val="6"/>
        <w:spacing w:beforeAutospacing="0" w:afterAutospacing="0" w:line="600" w:lineRule="exact"/>
        <w:ind w:firstLine="645"/>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 w:eastAsia="zh-CN"/>
        </w:rPr>
        <w:t>.</w:t>
      </w:r>
      <w:r>
        <w:rPr>
          <w:rFonts w:hint="eastAsia" w:ascii="仿宋_GB2312" w:eastAsia="仿宋_GB2312"/>
          <w:sz w:val="32"/>
          <w:szCs w:val="32"/>
          <w:lang w:eastAsia="zh-CN"/>
        </w:rPr>
        <w:t>为落实国家、省、市政务公开年度工作要点，我机关</w:t>
      </w:r>
      <w:r>
        <w:rPr>
          <w:rFonts w:hint="eastAsia" w:ascii="仿宋" w:hAnsi="仿宋" w:eastAsia="仿宋" w:cs="仿宋"/>
          <w:sz w:val="32"/>
          <w:szCs w:val="32"/>
          <w:lang w:val="en-US" w:eastAsia="zh-CN"/>
        </w:rPr>
        <w:t>1月份研究制定《2021年全市政务公开工作优化提升方案》，4月份制定印发《淄博市2021年政务公开工作要点》，5月份制定市政府办公室各科室政务公开任务清单，6月份组织全市专题会议对上年考核评估情况进行分析总结，7月份召开市政务公开领导小组会议对市级提升和区县突破进行研究部署，8月份召开持续深入优化营商环境和推进政府职能转变暨政务公开工作视频会议对全市政务公开工作进行再动员、再部署，9月份机关党组对加强政策解读工作进行专题研究并确定对市级政策文件进行统一多形式解读，12月份对年度考核评估和年报编制发布工作进行部署和培训，全市政府信息公开工作开展更加常态化。</w:t>
      </w:r>
    </w:p>
    <w:p>
      <w:pPr>
        <w:pStyle w:val="6"/>
        <w:spacing w:beforeAutospacing="0" w:afterAutospacing="0" w:line="600" w:lineRule="exact"/>
        <w:ind w:firstLine="645"/>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 w:eastAsia="zh-CN"/>
        </w:rPr>
        <w:t>.</w:t>
      </w:r>
      <w:r>
        <w:rPr>
          <w:rFonts w:hint="eastAsia" w:ascii="仿宋" w:hAnsi="仿宋" w:eastAsia="仿宋" w:cs="仿宋"/>
          <w:sz w:val="32"/>
          <w:szCs w:val="32"/>
          <w:lang w:val="en-US" w:eastAsia="zh-CN"/>
        </w:rPr>
        <w:t>2021年度，我机关未承办上级以及本级人大代表建议和政协委员提案，故无该类信息公开。</w:t>
      </w:r>
    </w:p>
    <w:p>
      <w:pPr>
        <w:pStyle w:val="6"/>
        <w:spacing w:beforeAutospacing="0" w:afterAutospacing="0" w:line="600" w:lineRule="exact"/>
        <w:ind w:firstLine="645"/>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4.2021年，我机关确定“三个转变”工作思路，采取系列针对性措施，全力推动由少数专兼职人员抓政务公开向全体政府工作人员人人参与转变，由集中打突击向将政务公开嵌入政务运行全过程转变，由被动迎评迎考向主动搞好政务公开转变。另外，积极推动落实“管业务就要管公开”的理念，充分调动和发挥市直部门单位“条条”管理作用，确保业务工作推进到哪里，政务公开就跟进到哪里，努力形成上下联动、齐抓共管的政务公开工作格局。</w:t>
      </w:r>
    </w:p>
    <w:p>
      <w:pPr>
        <w:pStyle w:val="6"/>
        <w:spacing w:beforeAutospacing="0" w:afterAutospacing="0" w:line="600" w:lineRule="exact"/>
        <w:ind w:firstLine="645"/>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 w:eastAsia="zh-CN"/>
        </w:rPr>
        <w:t>.</w:t>
      </w:r>
      <w:r>
        <w:rPr>
          <w:rFonts w:hint="eastAsia" w:ascii="仿宋" w:hAnsi="仿宋" w:eastAsia="仿宋" w:cs="仿宋"/>
          <w:sz w:val="32"/>
          <w:szCs w:val="32"/>
        </w:rPr>
        <w:t>本报告所列数据统计期限自202</w:t>
      </w:r>
      <w:r>
        <w:rPr>
          <w:rFonts w:hint="eastAsia" w:ascii="仿宋" w:hAnsi="仿宋" w:eastAsia="仿宋" w:cs="仿宋"/>
          <w:sz w:val="32"/>
          <w:szCs w:val="32"/>
          <w:lang w:val="en-US" w:eastAsia="zh-CN"/>
        </w:rPr>
        <w:t>1</w:t>
      </w:r>
      <w:r>
        <w:rPr>
          <w:rFonts w:hint="eastAsia" w:ascii="仿宋" w:hAnsi="仿宋" w:eastAsia="仿宋" w:cs="仿宋"/>
          <w:sz w:val="32"/>
          <w:szCs w:val="32"/>
        </w:rPr>
        <w:t>年1月1日起，到</w:t>
      </w:r>
      <w:r>
        <w:rPr>
          <w:rFonts w:hint="eastAsia" w:ascii="仿宋" w:hAnsi="仿宋" w:eastAsia="仿宋" w:cs="仿宋"/>
          <w:sz w:val="32"/>
          <w:szCs w:val="32"/>
          <w:lang w:val="en-US" w:eastAsia="zh-CN"/>
        </w:rPr>
        <w:t>2021年</w:t>
      </w:r>
      <w:r>
        <w:rPr>
          <w:rFonts w:hint="eastAsia" w:ascii="仿宋" w:hAnsi="仿宋" w:eastAsia="仿宋" w:cs="仿宋"/>
          <w:sz w:val="32"/>
          <w:szCs w:val="32"/>
        </w:rPr>
        <w:t>12月31日止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数据可能因四舍五入原因与数据直接相加之和存在尾数差异。</w:t>
      </w:r>
    </w:p>
    <w:p>
      <w:pPr>
        <w:pStyle w:val="6"/>
        <w:spacing w:beforeAutospacing="0" w:afterAutospacing="0" w:line="600" w:lineRule="exact"/>
        <w:ind w:firstLine="645"/>
        <w:jc w:val="both"/>
        <w:rPr>
          <w:rFonts w:hint="default" w:ascii="仿宋" w:hAnsi="仿宋" w:eastAsia="仿宋" w:cs="仿宋"/>
          <w:sz w:val="32"/>
          <w:szCs w:val="32"/>
          <w:lang w:val="en" w:eastAsia="zh-CN"/>
        </w:rPr>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ql5uc8AAAAFAQAADwAAAAAAAAABACAAAAA4AAAAZHJzL2Rv&#10;d25yZXYueG1sUEsBAhQAFAAAAAgAh07iQOIcCFO7AQAAYwMAAA4AAAAAAAAAAQAgAAAANAEAAGRy&#10;cy9lMm9Eb2MueG1sUEsFBgAAAAAGAAYAWQEAAGE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hideSpellingErrors/>
  <w:hideGrammaticalErrors/>
  <w:documentProtection w:enforcement="0"/>
  <w:defaultTabStop w:val="720"/>
  <w:displayHorizontalDrawingGridEvery w:val="1"/>
  <w:displayVerticalDrawingGridEvery w:val="1"/>
  <w:noPunctuationKerning w:val="true"/>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2B75F2"/>
    <w:rsid w:val="00323B43"/>
    <w:rsid w:val="003D37D8"/>
    <w:rsid w:val="00426133"/>
    <w:rsid w:val="004358AB"/>
    <w:rsid w:val="008B7726"/>
    <w:rsid w:val="00A61F6D"/>
    <w:rsid w:val="00C008A9"/>
    <w:rsid w:val="00D31D50"/>
    <w:rsid w:val="00E6656B"/>
    <w:rsid w:val="02532F32"/>
    <w:rsid w:val="031B05CC"/>
    <w:rsid w:val="037667C4"/>
    <w:rsid w:val="05DE2D90"/>
    <w:rsid w:val="066909C9"/>
    <w:rsid w:val="06B51906"/>
    <w:rsid w:val="07443D9F"/>
    <w:rsid w:val="07A86EBE"/>
    <w:rsid w:val="09B55CBB"/>
    <w:rsid w:val="09EA2B86"/>
    <w:rsid w:val="0B9E0072"/>
    <w:rsid w:val="0DB45C14"/>
    <w:rsid w:val="0DF3549C"/>
    <w:rsid w:val="0E5B2402"/>
    <w:rsid w:val="0EFF8A17"/>
    <w:rsid w:val="0F6B520F"/>
    <w:rsid w:val="0F773D75"/>
    <w:rsid w:val="10AB4804"/>
    <w:rsid w:val="119D0689"/>
    <w:rsid w:val="12513861"/>
    <w:rsid w:val="129F5A41"/>
    <w:rsid w:val="14162689"/>
    <w:rsid w:val="18242FBA"/>
    <w:rsid w:val="18F31523"/>
    <w:rsid w:val="1A9A2C66"/>
    <w:rsid w:val="1AE75226"/>
    <w:rsid w:val="1BC743DE"/>
    <w:rsid w:val="1E427C25"/>
    <w:rsid w:val="1E7DA8C0"/>
    <w:rsid w:val="1EBE3B6A"/>
    <w:rsid w:val="1F380C92"/>
    <w:rsid w:val="1F7B5BB7"/>
    <w:rsid w:val="1F850549"/>
    <w:rsid w:val="1FA555EE"/>
    <w:rsid w:val="1FA87BB3"/>
    <w:rsid w:val="1FAE019D"/>
    <w:rsid w:val="1FDA67A5"/>
    <w:rsid w:val="20610D5A"/>
    <w:rsid w:val="2067117E"/>
    <w:rsid w:val="21366DB2"/>
    <w:rsid w:val="233C12EA"/>
    <w:rsid w:val="25D63C8B"/>
    <w:rsid w:val="2670658E"/>
    <w:rsid w:val="2746774F"/>
    <w:rsid w:val="287D5AAC"/>
    <w:rsid w:val="29DC7E29"/>
    <w:rsid w:val="2AF96048"/>
    <w:rsid w:val="2BC85B63"/>
    <w:rsid w:val="2C4D0BB7"/>
    <w:rsid w:val="2CAD75D6"/>
    <w:rsid w:val="2CE36DB5"/>
    <w:rsid w:val="2D742141"/>
    <w:rsid w:val="2E1807F0"/>
    <w:rsid w:val="2E187720"/>
    <w:rsid w:val="2E6F32AA"/>
    <w:rsid w:val="2EF8339E"/>
    <w:rsid w:val="2FF51857"/>
    <w:rsid w:val="303268BE"/>
    <w:rsid w:val="32DBD42E"/>
    <w:rsid w:val="33AE4211"/>
    <w:rsid w:val="35E073DC"/>
    <w:rsid w:val="36100A83"/>
    <w:rsid w:val="36192A55"/>
    <w:rsid w:val="372573E3"/>
    <w:rsid w:val="37A946AF"/>
    <w:rsid w:val="38616733"/>
    <w:rsid w:val="38727D85"/>
    <w:rsid w:val="3A5F62AB"/>
    <w:rsid w:val="3A9276BC"/>
    <w:rsid w:val="3AA94C19"/>
    <w:rsid w:val="3BCB78CC"/>
    <w:rsid w:val="3BE24EDB"/>
    <w:rsid w:val="3C22377A"/>
    <w:rsid w:val="3C2D2DE2"/>
    <w:rsid w:val="3DA97D4A"/>
    <w:rsid w:val="3DBFA2D7"/>
    <w:rsid w:val="3EDD42A4"/>
    <w:rsid w:val="3EF6E333"/>
    <w:rsid w:val="3F975BC4"/>
    <w:rsid w:val="3FBDEE1F"/>
    <w:rsid w:val="40900213"/>
    <w:rsid w:val="41190CE1"/>
    <w:rsid w:val="412C2E7D"/>
    <w:rsid w:val="4141604C"/>
    <w:rsid w:val="427678BE"/>
    <w:rsid w:val="42AD7E60"/>
    <w:rsid w:val="43B16AE1"/>
    <w:rsid w:val="43BF16A2"/>
    <w:rsid w:val="43FB0A19"/>
    <w:rsid w:val="43FD20C3"/>
    <w:rsid w:val="463D70D9"/>
    <w:rsid w:val="46B5235D"/>
    <w:rsid w:val="47DD7D37"/>
    <w:rsid w:val="493F32BC"/>
    <w:rsid w:val="4A8E4D74"/>
    <w:rsid w:val="4AE14B73"/>
    <w:rsid w:val="4BC72DB7"/>
    <w:rsid w:val="4C152687"/>
    <w:rsid w:val="4C67275F"/>
    <w:rsid w:val="4C9426C0"/>
    <w:rsid w:val="4D574BEC"/>
    <w:rsid w:val="4DCD0960"/>
    <w:rsid w:val="4DD03CB4"/>
    <w:rsid w:val="4DF056F4"/>
    <w:rsid w:val="4E660A87"/>
    <w:rsid w:val="4F6C1F6B"/>
    <w:rsid w:val="52044DD0"/>
    <w:rsid w:val="53160BA1"/>
    <w:rsid w:val="53C46118"/>
    <w:rsid w:val="54096C58"/>
    <w:rsid w:val="540A6933"/>
    <w:rsid w:val="54A94B62"/>
    <w:rsid w:val="555916F0"/>
    <w:rsid w:val="55B159C4"/>
    <w:rsid w:val="57DBC32C"/>
    <w:rsid w:val="58482BCA"/>
    <w:rsid w:val="59136169"/>
    <w:rsid w:val="5A4D5518"/>
    <w:rsid w:val="5BFF2B2E"/>
    <w:rsid w:val="5E0A6DD6"/>
    <w:rsid w:val="5FBF2B95"/>
    <w:rsid w:val="63A8789F"/>
    <w:rsid w:val="63E73E75"/>
    <w:rsid w:val="644E7A79"/>
    <w:rsid w:val="671064A9"/>
    <w:rsid w:val="671C62BB"/>
    <w:rsid w:val="67FD431A"/>
    <w:rsid w:val="697C342E"/>
    <w:rsid w:val="6A7D1F2F"/>
    <w:rsid w:val="6A840342"/>
    <w:rsid w:val="6AAD6E19"/>
    <w:rsid w:val="6AF36AE1"/>
    <w:rsid w:val="6D9823C3"/>
    <w:rsid w:val="6DEF94AC"/>
    <w:rsid w:val="6E654765"/>
    <w:rsid w:val="6E8D5B14"/>
    <w:rsid w:val="6E9B38FD"/>
    <w:rsid w:val="6F0B53CE"/>
    <w:rsid w:val="6F4D19D5"/>
    <w:rsid w:val="6FD6BC58"/>
    <w:rsid w:val="6FDB1F3A"/>
    <w:rsid w:val="6FF6B253"/>
    <w:rsid w:val="6FFFB50F"/>
    <w:rsid w:val="701F1A6C"/>
    <w:rsid w:val="70DA0B9A"/>
    <w:rsid w:val="71CAE9FF"/>
    <w:rsid w:val="72155487"/>
    <w:rsid w:val="72AE5CEF"/>
    <w:rsid w:val="72BC2747"/>
    <w:rsid w:val="72C24CDE"/>
    <w:rsid w:val="733FDE8D"/>
    <w:rsid w:val="73402DC7"/>
    <w:rsid w:val="73B1258C"/>
    <w:rsid w:val="73D72DB8"/>
    <w:rsid w:val="73EB2DC8"/>
    <w:rsid w:val="74477285"/>
    <w:rsid w:val="756D1C37"/>
    <w:rsid w:val="75FFA27E"/>
    <w:rsid w:val="7688291C"/>
    <w:rsid w:val="77C56411"/>
    <w:rsid w:val="77F41E0C"/>
    <w:rsid w:val="77FA7FCC"/>
    <w:rsid w:val="77FD1C6F"/>
    <w:rsid w:val="791608CC"/>
    <w:rsid w:val="79FF1742"/>
    <w:rsid w:val="7A496C70"/>
    <w:rsid w:val="7A4F019E"/>
    <w:rsid w:val="7AD2E16C"/>
    <w:rsid w:val="7B0C428A"/>
    <w:rsid w:val="7BBF9A2D"/>
    <w:rsid w:val="7BFB15FA"/>
    <w:rsid w:val="7C446F71"/>
    <w:rsid w:val="7C7F0CA7"/>
    <w:rsid w:val="7CDB10CC"/>
    <w:rsid w:val="7CEF9660"/>
    <w:rsid w:val="7CFFB47A"/>
    <w:rsid w:val="7D7F0563"/>
    <w:rsid w:val="7DB70254"/>
    <w:rsid w:val="7DF535C3"/>
    <w:rsid w:val="7E7501D8"/>
    <w:rsid w:val="7E931DB2"/>
    <w:rsid w:val="7EAD4C9C"/>
    <w:rsid w:val="7EE90C4E"/>
    <w:rsid w:val="7EFF1D07"/>
    <w:rsid w:val="7FBF3CD9"/>
    <w:rsid w:val="7FDCD3DF"/>
    <w:rsid w:val="9FCF976E"/>
    <w:rsid w:val="A6E5BF89"/>
    <w:rsid w:val="A7B60C44"/>
    <w:rsid w:val="A7FCA5FC"/>
    <w:rsid w:val="BF2F8F3E"/>
    <w:rsid w:val="BFFF9774"/>
    <w:rsid w:val="C74D5EF1"/>
    <w:rsid w:val="CBDF9EC6"/>
    <w:rsid w:val="D39667A3"/>
    <w:rsid w:val="DBDFDE52"/>
    <w:rsid w:val="DDDF61E7"/>
    <w:rsid w:val="DDDFCD00"/>
    <w:rsid w:val="DF381100"/>
    <w:rsid w:val="E3B9B8FA"/>
    <w:rsid w:val="E4DD76D5"/>
    <w:rsid w:val="E7FF0519"/>
    <w:rsid w:val="E8A729FA"/>
    <w:rsid w:val="E9C9D8A4"/>
    <w:rsid w:val="EAFFC7F7"/>
    <w:rsid w:val="EBAF3704"/>
    <w:rsid w:val="EE47C9F9"/>
    <w:rsid w:val="EFEDA7EA"/>
    <w:rsid w:val="F6EB214A"/>
    <w:rsid w:val="F6FF8E67"/>
    <w:rsid w:val="F72B660E"/>
    <w:rsid w:val="F72EA15C"/>
    <w:rsid w:val="F79F5A62"/>
    <w:rsid w:val="F7B97C94"/>
    <w:rsid w:val="F9CF7197"/>
    <w:rsid w:val="F9DBB81E"/>
    <w:rsid w:val="F9F827EC"/>
    <w:rsid w:val="FDF392CB"/>
    <w:rsid w:val="FDF8CF79"/>
    <w:rsid w:val="FF3FBBDF"/>
    <w:rsid w:val="FF7FBED5"/>
    <w:rsid w:val="FFE8B38D"/>
    <w:rsid w:val="FFEE31AE"/>
    <w:rsid w:val="FFEF5B16"/>
    <w:rsid w:val="FFF4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1"/>
    <w:semiHidden/>
    <w:unhideWhenUsed/>
    <w:qFormat/>
    <w:uiPriority w:val="9"/>
    <w:pPr>
      <w:spacing w:beforeAutospacing="1" w:after="0" w:afterAutospacing="1"/>
      <w:outlineLvl w:val="1"/>
    </w:pPr>
    <w:rPr>
      <w:rFonts w:hint="eastAsia" w:ascii="宋体" w:hAnsi="宋体" w:eastAsia="宋体"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0"/>
    <w:pPr>
      <w:spacing w:beforeLines="0" w:afterLines="0"/>
      <w:ind w:left="3360"/>
      <w:jc w:val="left"/>
    </w:pPr>
    <w:rPr>
      <w:rFonts w:hint="default" w:ascii="Times New Roman" w:hAnsi="Times New Roman"/>
      <w:sz w:val="21"/>
    </w:rPr>
  </w:style>
  <w:style w:type="paragraph" w:styleId="4">
    <w:name w:val="footer"/>
    <w:basedOn w:val="1"/>
    <w:semiHidden/>
    <w:unhideWhenUsed/>
    <w:qFormat/>
    <w:uiPriority w:val="99"/>
    <w:pPr>
      <w:tabs>
        <w:tab w:val="center" w:pos="4153"/>
        <w:tab w:val="right" w:pos="8306"/>
      </w:tabs>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semiHidden/>
    <w:unhideWhenUsed/>
    <w:qFormat/>
    <w:uiPriority w:val="99"/>
    <w:pPr>
      <w:spacing w:beforeAutospacing="1" w:after="0" w:afterAutospacing="1"/>
    </w:pPr>
    <w:rPr>
      <w:rFonts w:cs="Times New Roman"/>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rPr>
  </w:style>
  <w:style w:type="character" w:styleId="12">
    <w:name w:val="HTML Definition"/>
    <w:basedOn w:val="8"/>
    <w:semiHidden/>
    <w:unhideWhenUsed/>
    <w:qFormat/>
    <w:uiPriority w:val="99"/>
  </w:style>
  <w:style w:type="character" w:styleId="13">
    <w:name w:val="HTML Variable"/>
    <w:basedOn w:val="8"/>
    <w:semiHidden/>
    <w:unhideWhenUsed/>
    <w:qFormat/>
    <w:uiPriority w:val="99"/>
  </w:style>
  <w:style w:type="character" w:styleId="14">
    <w:name w:val="Hyperlink"/>
    <w:basedOn w:val="8"/>
    <w:semiHidden/>
    <w:unhideWhenUsed/>
    <w:qFormat/>
    <w:uiPriority w:val="99"/>
    <w:rPr>
      <w:color w:val="0000FF"/>
      <w:u w:val="none"/>
    </w:rPr>
  </w:style>
  <w:style w:type="character" w:styleId="15">
    <w:name w:val="HTML Code"/>
    <w:basedOn w:val="8"/>
    <w:semiHidden/>
    <w:unhideWhenUsed/>
    <w:qFormat/>
    <w:uiPriority w:val="99"/>
    <w:rPr>
      <w:rFonts w:ascii="Courier New" w:hAnsi="Courier New"/>
      <w:sz w:val="20"/>
    </w:rPr>
  </w:style>
  <w:style w:type="character" w:styleId="16">
    <w:name w:val="HTML Cite"/>
    <w:basedOn w:val="8"/>
    <w:semiHidden/>
    <w:unhideWhenUsed/>
    <w:qFormat/>
    <w:uiPriority w:val="99"/>
  </w:style>
  <w:style w:type="character" w:styleId="17">
    <w:name w:val="HTML Keyboard"/>
    <w:basedOn w:val="8"/>
    <w:semiHidden/>
    <w:unhideWhenUsed/>
    <w:qFormat/>
    <w:uiPriority w:val="99"/>
    <w:rPr>
      <w:rFonts w:ascii="Courier New" w:hAnsi="Courier New"/>
      <w:sz w:val="20"/>
    </w:rPr>
  </w:style>
  <w:style w:type="character" w:styleId="18">
    <w:name w:val="HTML Sample"/>
    <w:basedOn w:val="8"/>
    <w:semiHidden/>
    <w:unhideWhenUsed/>
    <w:qFormat/>
    <w:uiPriority w:val="99"/>
    <w:rPr>
      <w:rFonts w:ascii="Courier New" w:hAnsi="Courier New"/>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b="1"/>
              <a:t>历年政府信息公开申请数量对比图</a:t>
            </a:r>
            <a:endParaRPr b="1"/>
          </a:p>
        </c:rich>
      </c:tx>
      <c:layout/>
      <c:overlay val="false"/>
      <c:spPr>
        <a:noFill/>
        <a:ln>
          <a:noFill/>
        </a:ln>
        <a:effectLst/>
      </c:spPr>
    </c:title>
    <c:autoTitleDeleted val="false"/>
    <c:plotArea>
      <c:layout/>
      <c:barChart>
        <c:barDir val="col"/>
        <c:grouping val="clustered"/>
        <c:varyColors val="false"/>
        <c:ser>
          <c:idx val="0"/>
          <c:order val="0"/>
          <c:tx>
            <c:strRef>
              <c:extLst>
                <c:ext xmlns:c15="http://schemas.microsoft.com/office/drawing/2012/chart" uri="{02D57815-91ED-43cb-92C2-25804820EDAC}">
                  <c15:fullRef>
                    <c15:sqref>Sheet1!$B$1</c15:sqref>
                  </c15:fullRef>
                  <c15:levelRef>
                    <c15:sqref>Sheet1!$B$1</c15:sqref>
                  </c15:levelRef>
                </c:ext>
              </c:extLst>
              <c:f>Sheet1!$B$1</c:f>
              <c:strCache>
                <c:ptCount val="1"/>
                <c:pt idx="0">
                  <c:v>数量</c:v>
                </c:pt>
              </c:strCache>
            </c:strRef>
          </c:tx>
          <c:spPr>
            <a:solidFill>
              <a:schemeClr val="accent1"/>
            </a:solidFill>
            <a:ln>
              <a:noFill/>
            </a:ln>
            <a:effectLst>
              <a:outerShdw blurRad="50800" dist="114300" dir="3600000" algn="ctr" rotWithShape="0">
                <a:srgbClr val="000000">
                  <a:alpha val="43000"/>
                </a:srgbClr>
              </a:outerShdw>
            </a:effectLst>
          </c:spPr>
          <c:invertIfNegative val="false"/>
          <c:dLbls>
            <c:delete val="true"/>
          </c:dLbls>
          <c:cat>
            <c:strRef>
              <c:extLst>
                <c:ext xmlns:c15="http://schemas.microsoft.com/office/drawing/2012/chart" uri="{02D57815-91ED-43cb-92C2-25804820EDAC}">
                  <c15:fullRef>
                    <c15:sqref>Sheet1!$A$2:$A$6</c15:sqref>
                  </c15:fullRef>
                </c:ext>
              </c:extLst>
              <c:f>Sheet1!$A$2:$A$6</c:f>
              <c:strCache>
                <c:ptCount val="5"/>
                <c:pt idx="0">
                  <c:v>2017年</c:v>
                </c:pt>
                <c:pt idx="1">
                  <c:v>2018年</c:v>
                </c:pt>
                <c:pt idx="2">
                  <c:v>2019年</c:v>
                </c:pt>
                <c:pt idx="3">
                  <c:v>2020年</c:v>
                </c:pt>
                <c:pt idx="4">
                  <c:v>2021年</c:v>
                </c:pt>
              </c:strCache>
            </c:strRef>
          </c:cat>
          <c:val>
            <c:numRef>
              <c:extLst>
                <c:ext xmlns:c15="http://schemas.microsoft.com/office/drawing/2012/chart" uri="{02D57815-91ED-43cb-92C2-25804820EDAC}">
                  <c15:fullRef>
                    <c15:sqref>Sheet1!$B$2:$B$8</c15:sqref>
                  </c15:fullRef>
                </c:ext>
              </c:extLst>
              <c:f>Sheet1!$B$2:$B$6</c:f>
              <c:numCache>
                <c:formatCode>General</c:formatCode>
                <c:ptCount val="5"/>
                <c:pt idx="0">
                  <c:v>107</c:v>
                </c:pt>
                <c:pt idx="1">
                  <c:v>100</c:v>
                </c:pt>
                <c:pt idx="2">
                  <c:v>124</c:v>
                </c:pt>
                <c:pt idx="3">
                  <c:v>88</c:v>
                </c:pt>
                <c:pt idx="4">
                  <c:v>149</c:v>
                </c:pt>
              </c:numCache>
            </c:numRef>
          </c:val>
        </c:ser>
        <c:dLbls>
          <c:showLegendKey val="false"/>
          <c:showVal val="false"/>
          <c:showCatName val="false"/>
          <c:showSerName val="false"/>
          <c:showPercent val="false"/>
          <c:showBubbleSize val="false"/>
        </c:dLbls>
        <c:gapWidth val="219"/>
        <c:overlap val="-27"/>
        <c:axId val="330235169"/>
        <c:axId val="394940573"/>
        <c:extLst>
          <c:ext xmlns:c15="http://schemas.microsoft.com/office/drawing/2012/chart" uri="{02D57815-91ED-43cb-92C2-25804820EDAC}">
            <c15:filteredBarSeries>
              <c15:ser>
                <c:idx val="1"/>
                <c:order val="1"/>
                <c:tx>
                  <c:strRef>
                    <c:extLst>
                      <c:ext uri="{02D57815-91ED-43cb-92C2-25804820EDAC}">
                        <c15:fullRef>
                          <c15:sqref>Sheet1!$C$1</c15:sqref>
                        </c15:fullRef>
                        <c15:levelRef>
                          <c15:sqref>Sheet1!$C$1</c15:sqref>
                        </c15:levelRef>
                        <c15:formulaRef>
                          <c15:sqref>Sheet1!$C$1</c15:sqref>
                        </c15:formulaRef>
                      </c:ext>
                    </c:extLst>
                    <c:strCache>
                      <c:ptCount val="1"/>
                      <c:pt idx="0">
                        <c:v/>
                      </c:pt>
                    </c:strCache>
                  </c:strRef>
                </c:tx>
                <c:spPr>
                  <a:solidFill>
                    <a:schemeClr val="accent2"/>
                  </a:solidFill>
                  <a:ln>
                    <a:noFill/>
                  </a:ln>
                  <a:effectLst/>
                </c:spPr>
                <c:invertIfNegative val="false"/>
                <c:dLbls>
                  <c:delete val="true"/>
                </c:dLbls>
                <c:cat>
                  <c:strRef>
                    <c:extLst>
                      <c:ext uri="{02D57815-91ED-43cb-92C2-25804820EDAC}">
                        <c15:fullRef>
                          <c15:sqref>Sheet1!$A$2:$A$6</c15:sqref>
                        </c15:fullRef>
                        <c15:formulaRef>
                          <c15:sqref>Sheet1!$A$2:$A$6</c15:sqref>
                        </c15:formulaRef>
                      </c:ext>
                    </c:extLst>
                    <c:strCache>
                      <c:ptCount val="5"/>
                      <c:pt idx="0">
                        <c:v>2017年</c:v>
                      </c:pt>
                      <c:pt idx="1">
                        <c:v>2018年</c:v>
                      </c:pt>
                      <c:pt idx="2">
                        <c:v>2019年</c:v>
                      </c:pt>
                      <c:pt idx="3">
                        <c:v>2020年</c:v>
                      </c:pt>
                      <c:pt idx="4">
                        <c:v>2021年</c:v>
                      </c:pt>
                    </c:strCache>
                  </c:strRef>
                </c:cat>
                <c:val>
                  <c:numRef>
                    <c:extLst>
                      <c:ext uri="{02D57815-91ED-43cb-92C2-25804820EDAC}">
                        <c15:fullRef>
                          <c15:sqref>Sheet1!$C$2:$C$8</c15:sqref>
                        </c15:fullRef>
                        <c15:formulaRef>
                          <c15:sqref>Sheet1!$C$2:$C$6</c15:sqref>
                        </c15:formulaRef>
                      </c:ext>
                    </c:extLst>
                    <c:numCache>
                      <c:formatCode>General</c:formatCode>
                      <c:ptCount val="5"/>
                    </c:numCache>
                  </c:numRef>
                </c:val>
              </c15:ser>
            </c15:filteredBarSeries>
            <c15:filteredBarSeries>
              <c15:ser>
                <c:idx val="2"/>
                <c:order val="2"/>
                <c:tx>
                  <c:strRef>
                    <c:extLst>
                      <c:ext uri="{02D57815-91ED-43cb-92C2-25804820EDAC}">
                        <c15:fullRef>
                          <c15:sqref>Sheet1!$D$1</c15:sqref>
                        </c15:fullRef>
                        <c15:levelRef>
                          <c15:sqref>Sheet1!$D$1</c15:sqref>
                        </c15:levelRef>
                        <c15:formulaRef>
                          <c15:sqref>Sheet1!$D$1</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Sheet1!$A$2:$A$6</c15:sqref>
                        </c15:fullRef>
                        <c15:formulaRef>
                          <c15:sqref>Sheet1!$A$2:$A$6</c15:sqref>
                        </c15:formulaRef>
                      </c:ext>
                    </c:extLst>
                    <c:strCache>
                      <c:ptCount val="5"/>
                      <c:pt idx="0">
                        <c:v>2017年</c:v>
                      </c:pt>
                      <c:pt idx="1">
                        <c:v>2018年</c:v>
                      </c:pt>
                      <c:pt idx="2">
                        <c:v>2019年</c:v>
                      </c:pt>
                      <c:pt idx="3">
                        <c:v>2020年</c:v>
                      </c:pt>
                      <c:pt idx="4">
                        <c:v>2021年</c:v>
                      </c:pt>
                    </c:strCache>
                  </c:strRef>
                </c:cat>
                <c:val>
                  <c:numRef>
                    <c:extLst>
                      <c:ext uri="{02D57815-91ED-43cb-92C2-25804820EDAC}">
                        <c15:fullRef>
                          <c15:sqref>Sheet1!$D$2:$D$8</c15:sqref>
                        </c15:fullRef>
                        <c15:formulaRef>
                          <c15:sqref>Sheet1!$D$2:$D$6</c15:sqref>
                        </c15:formulaRef>
                      </c:ext>
                    </c:extLst>
                    <c:numCache>
                      <c:formatCode>General</c:formatCode>
                      <c:ptCount val="5"/>
                    </c:numCache>
                  </c:numRef>
                </c:val>
              </c15:ser>
            </c15:filteredBarSeries>
          </c:ext>
        </c:extLst>
      </c:barChart>
      <c:catAx>
        <c:axId val="33023516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94940573"/>
        <c:crosses val="autoZero"/>
        <c:auto val="true"/>
        <c:lblAlgn val="ctr"/>
        <c:lblOffset val="100"/>
        <c:noMultiLvlLbl val="false"/>
      </c:catAx>
      <c:valAx>
        <c:axId val="39494057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3023516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2"/>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b="1"/>
              <a:t>2021</a:t>
            </a:r>
            <a:r>
              <a:rPr altLang="en-US" b="1"/>
              <a:t>年度政府信息公开申请答复结果</a:t>
            </a:r>
            <a:endParaRPr altLang="en-US" b="1"/>
          </a:p>
        </c:rich>
      </c:tx>
      <c:layout/>
      <c:overlay val="false"/>
      <c:spPr>
        <a:noFill/>
        <a:ln>
          <a:noFill/>
        </a:ln>
        <a:effectLst/>
      </c:spPr>
    </c:title>
    <c:autoTitleDeleted val="false"/>
    <c:plotArea>
      <c:layout/>
      <c:pieChart>
        <c:varyColors val="true"/>
        <c:ser>
          <c:idx val="0"/>
          <c:order val="0"/>
          <c:tx>
            <c:strRef>
              <c:f>Sheet1!$B$1</c:f>
              <c:strCache>
                <c:ptCount val="1"/>
                <c:pt idx="0">
                  <c:v>数量</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0"/>
              <c:layout>
                <c:manualLayout>
                  <c:x val="-0.0846131773396246"/>
                  <c:y val="0.157620206024897"/>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235804064405412"/>
                  <c:y val="-0.00569475326614289"/>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0331202280963453"/>
                  <c:y val="0.0208628300703038"/>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3"/>
              <c:layout>
                <c:manualLayout>
                  <c:x val="0.199624018241682"/>
                  <c:y val="-0.136700226879028"/>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4"/>
              <c:layout>
                <c:manualLayout>
                  <c:x val="-0.161390625063491"/>
                  <c:y val="0.0650116566053919"/>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予以公开</c:v>
                </c:pt>
                <c:pt idx="1">
                  <c:v>部分公开</c:v>
                </c:pt>
                <c:pt idx="2">
                  <c:v>不予公开</c:v>
                </c:pt>
                <c:pt idx="3">
                  <c:v>无法提供</c:v>
                </c:pt>
                <c:pt idx="4">
                  <c:v>其它处理</c:v>
                </c:pt>
              </c:strCache>
            </c:strRef>
          </c:cat>
          <c:val>
            <c:numRef>
              <c:f>Sheet1!$B$2:$B$6</c:f>
              <c:numCache>
                <c:formatCode>General</c:formatCode>
                <c:ptCount val="5"/>
                <c:pt idx="0">
                  <c:v>25</c:v>
                </c:pt>
                <c:pt idx="1">
                  <c:v>28</c:v>
                </c:pt>
                <c:pt idx="2">
                  <c:v>1</c:v>
                </c:pt>
                <c:pt idx="3">
                  <c:v>90</c:v>
                </c:pt>
                <c:pt idx="4">
                  <c:v>8</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2"/>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720</Words>
  <Characters>4108</Characters>
  <Lines>34</Lines>
  <Paragraphs>9</Paragraphs>
  <TotalTime>16</TotalTime>
  <ScaleCrop>false</ScaleCrop>
  <LinksUpToDate>false</LinksUpToDate>
  <CharactersWithSpaces>4819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2021-02-12T00:19:00Z</dcterms:created>
  <dc:creator>Administrator</dc:creator>
  <cp:lastModifiedBy>admin</cp:lastModifiedBy>
  <cp:lastPrinted>2022-01-27T09:55:00Z</cp:lastPrinted>
  <dcterms:modified xsi:type="dcterms:W3CDTF">2023-03-02T11:58:01Z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36FF6FB79D2941B3A8EBB05B8A830654</vt:lpwstr>
  </property>
</Properties>
</file>